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06F03" w:rsidR="00364392" w:rsidP="00006F03" w:rsidRDefault="00006F03" w14:paraId="23CCDCD3" w14:textId="1C6C886A">
      <w:pPr>
        <w:pStyle w:val="Cm"/>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Cm"/>
        <w:rPr>
          <w:highlight w:val="yellow"/>
        </w:rPr>
      </w:pPr>
    </w:p>
    <w:p w:rsidRPr="002E2FFC" w:rsidR="00167F46" w:rsidP="00006F03" w:rsidRDefault="00167F46" w14:paraId="78551371" w14:textId="5DF2223D">
      <w:pPr>
        <w:pStyle w:val="Cm"/>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39E94591">
      <w:pPr>
        <w:pStyle w:val="Department"/>
        <w:jc w:val="center"/>
        <w:rPr>
          <w:rFonts w:ascii="Arial" w:hAnsi="Arial" w:cs="Arial"/>
          <w:color w:val="auto"/>
        </w:rPr>
      </w:pPr>
      <w:r w:rsidRPr="4A15EC48">
        <w:rPr>
          <w:rFonts w:ascii="Arial" w:hAnsi="Arial" w:cs="Arial"/>
          <w:color w:val="auto"/>
        </w:rPr>
        <w:t>Q</w:t>
      </w:r>
      <w:r w:rsidR="00077446">
        <w:rPr>
          <w:rFonts w:ascii="Arial" w:hAnsi="Arial" w:cs="Arial"/>
          <w:color w:val="auto"/>
        </w:rPr>
        <w:t>2</w:t>
      </w:r>
      <w:r w:rsidRPr="4A15EC48">
        <w:rPr>
          <w:rFonts w:ascii="Arial" w:hAnsi="Arial" w:cs="Arial"/>
          <w:color w:val="auto"/>
        </w:rPr>
        <w:t xml:space="preserve"> 202</w:t>
      </w:r>
      <w:r w:rsidR="0063252E">
        <w:rPr>
          <w:rFonts w:ascii="Arial" w:hAnsi="Arial" w:cs="Arial"/>
          <w:color w:val="auto"/>
        </w:rPr>
        <w:t>5</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942426188"/>
        <w:docPartObj>
          <w:docPartGallery w:val="Table of Contents"/>
          <w:docPartUnique/>
        </w:docPartObj>
      </w:sdtPr>
      <w:sdtContent>
        <w:p w:rsidR="00D46052" w:rsidP="03D1E99D" w:rsidRDefault="799E5D96" w14:paraId="2E22A2E5" w14:textId="3482BD99">
          <w:pPr>
            <w:tabs>
              <w:tab w:val="left" w:pos="7864"/>
            </w:tabs>
            <w:rPr>
              <w:color w:val="5F5F5F" w:themeColor="text2"/>
              <w:lang w:val="en-GB"/>
            </w:rPr>
          </w:pPr>
          <w:r w:rsidRPr="04A132EC" w:rsidR="04A132EC">
            <w:rPr>
              <w:color w:val="5F5F5F" w:themeColor="background2" w:themeTint="FF" w:themeShade="80"/>
              <w:lang w:val="en-GB"/>
            </w:rPr>
            <w:t>Table of Contents</w:t>
          </w:r>
        </w:p>
        <w:p w:rsidRPr="00D46052" w:rsidR="00D46052" w:rsidP="03D1E99D" w:rsidRDefault="00D46052" w14:paraId="16B05C45" w14:textId="77777777">
          <w:pPr>
            <w:tabs>
              <w:tab w:val="left" w:pos="7864"/>
            </w:tabs>
            <w:rPr>
              <w:b w:val="1"/>
              <w:bCs w:val="1"/>
              <w:color w:val="5F5F5F" w:themeColor="text2"/>
              <w:lang w:val="en-GB"/>
            </w:rPr>
          </w:pPr>
        </w:p>
        <w:p w:rsidR="00D67FA0" w:rsidP="04A132EC" w:rsidRDefault="799E5D96" w14:paraId="4F14D8CE" w14:textId="7D1020E3">
          <w:pPr>
            <w:pStyle w:val="TJ1"/>
            <w:tabs>
              <w:tab w:val="right" w:leader="dot" w:pos="9285"/>
            </w:tabs>
            <w:rPr>
              <w:rStyle w:val="Hiperhivatkozs"/>
              <w:noProof/>
              <w:kern w:val="2"/>
              <w:lang/>
              <w14:ligatures w14:val="standardContextual"/>
            </w:rPr>
          </w:pPr>
          <w:r>
            <w:fldChar w:fldCharType="begin"/>
          </w:r>
          <w:r>
            <w:instrText xml:space="preserve">TOC \o "1-3" \z \u \h</w:instrText>
          </w:r>
          <w:r>
            <w:fldChar w:fldCharType="separate"/>
          </w:r>
          <w:hyperlink w:anchor="_Toc1741654653">
            <w:r w:rsidRPr="04A132EC" w:rsidR="04A132EC">
              <w:rPr>
                <w:rStyle w:val="Hiperhivatkozs"/>
              </w:rPr>
              <w:t>Introduction</w:t>
            </w:r>
            <w:r>
              <w:tab/>
            </w:r>
            <w:r>
              <w:fldChar w:fldCharType="begin"/>
            </w:r>
            <w:r>
              <w:instrText xml:space="preserve">PAGEREF _Toc1741654653 \h</w:instrText>
            </w:r>
            <w:r>
              <w:fldChar w:fldCharType="separate"/>
            </w:r>
            <w:r w:rsidRPr="04A132EC" w:rsidR="04A132EC">
              <w:rPr>
                <w:rStyle w:val="Hiperhivatkozs"/>
              </w:rPr>
              <w:t>2</w:t>
            </w:r>
            <w:r>
              <w:fldChar w:fldCharType="end"/>
            </w:r>
          </w:hyperlink>
        </w:p>
        <w:p w:rsidR="00D67FA0" w:rsidP="04A132EC" w:rsidRDefault="00000000" w14:paraId="6DCE4354" w14:textId="769CA1FD">
          <w:pPr>
            <w:pStyle w:val="TJ1"/>
            <w:tabs>
              <w:tab w:val="left" w:leader="none" w:pos="480"/>
              <w:tab w:val="right" w:leader="dot" w:pos="9285"/>
            </w:tabs>
            <w:rPr>
              <w:rStyle w:val="Hiperhivatkozs"/>
              <w:noProof/>
              <w:kern w:val="2"/>
              <w:lang/>
              <w14:ligatures w14:val="standardContextual"/>
            </w:rPr>
          </w:pPr>
          <w:hyperlink w:anchor="_Toc2114136150">
            <w:r w:rsidRPr="04A132EC" w:rsidR="04A132EC">
              <w:rPr>
                <w:rStyle w:val="Hiperhivatkozs"/>
              </w:rPr>
              <w:t>1.</w:t>
            </w:r>
            <w:r>
              <w:tab/>
            </w:r>
            <w:r w:rsidRPr="04A132EC" w:rsidR="04A132EC">
              <w:rPr>
                <w:rStyle w:val="Hiperhivatkozs"/>
              </w:rPr>
              <w:t>CEPS</w:t>
            </w:r>
            <w:r>
              <w:tab/>
            </w:r>
            <w:r>
              <w:fldChar w:fldCharType="begin"/>
            </w:r>
            <w:r>
              <w:instrText xml:space="preserve">PAGEREF _Toc2114136150 \h</w:instrText>
            </w:r>
            <w:r>
              <w:fldChar w:fldCharType="separate"/>
            </w:r>
            <w:r w:rsidRPr="04A132EC" w:rsidR="04A132EC">
              <w:rPr>
                <w:rStyle w:val="Hiperhivatkozs"/>
              </w:rPr>
              <w:t>3</w:t>
            </w:r>
            <w:r>
              <w:fldChar w:fldCharType="end"/>
            </w:r>
          </w:hyperlink>
        </w:p>
        <w:p w:rsidR="00D67FA0" w:rsidP="04A132EC" w:rsidRDefault="00000000" w14:paraId="1CF9EE52" w14:textId="2E63C57D">
          <w:pPr>
            <w:pStyle w:val="TJ1"/>
            <w:tabs>
              <w:tab w:val="left" w:leader="none" w:pos="480"/>
              <w:tab w:val="right" w:leader="dot" w:pos="9285"/>
            </w:tabs>
            <w:rPr>
              <w:rStyle w:val="Hiperhivatkozs"/>
              <w:noProof/>
              <w:kern w:val="2"/>
              <w:lang/>
              <w14:ligatures w14:val="standardContextual"/>
            </w:rPr>
          </w:pPr>
          <w:hyperlink w:anchor="_Toc1991713034">
            <w:r w:rsidRPr="04A132EC" w:rsidR="04A132EC">
              <w:rPr>
                <w:rStyle w:val="Hiperhivatkozs"/>
              </w:rPr>
              <w:t>2.</w:t>
            </w:r>
            <w:r>
              <w:tab/>
            </w:r>
            <w:r w:rsidRPr="04A132EC" w:rsidR="04A132EC">
              <w:rPr>
                <w:rStyle w:val="Hiperhivatkozs"/>
              </w:rPr>
              <w:t>DAVinCy TSOs</w:t>
            </w:r>
            <w:r>
              <w:tab/>
            </w:r>
            <w:r>
              <w:fldChar w:fldCharType="begin"/>
            </w:r>
            <w:r>
              <w:instrText xml:space="preserve">PAGEREF _Toc1991713034 \h</w:instrText>
            </w:r>
            <w:r>
              <w:fldChar w:fldCharType="separate"/>
            </w:r>
            <w:r w:rsidRPr="04A132EC" w:rsidR="04A132EC">
              <w:rPr>
                <w:rStyle w:val="Hiperhivatkozs"/>
              </w:rPr>
              <w:t>4</w:t>
            </w:r>
            <w:r>
              <w:fldChar w:fldCharType="end"/>
            </w:r>
          </w:hyperlink>
        </w:p>
        <w:p w:rsidR="00D67FA0" w:rsidP="04A132EC" w:rsidRDefault="00000000" w14:paraId="3B387C8E" w14:textId="5E6A0CF2">
          <w:pPr>
            <w:pStyle w:val="TJ2"/>
            <w:tabs>
              <w:tab w:val="left" w:leader="none" w:pos="660"/>
              <w:tab w:val="right" w:leader="dot" w:pos="9285"/>
            </w:tabs>
            <w:rPr>
              <w:rStyle w:val="Hiperhivatkozs"/>
              <w:noProof/>
              <w:kern w:val="2"/>
              <w:lang/>
              <w14:ligatures w14:val="standardContextual"/>
            </w:rPr>
          </w:pPr>
          <w:hyperlink w:anchor="_Toc2138125414">
            <w:r w:rsidRPr="04A132EC" w:rsidR="04A132EC">
              <w:rPr>
                <w:rStyle w:val="Hiperhivatkozs"/>
              </w:rPr>
              <w:t>2.1.</w:t>
            </w:r>
            <w:r>
              <w:tab/>
            </w:r>
            <w:r w:rsidRPr="04A132EC" w:rsidR="04A132EC">
              <w:rPr>
                <w:rStyle w:val="Hiperhivatkozs"/>
              </w:rPr>
              <w:t>APG</w:t>
            </w:r>
            <w:r>
              <w:tab/>
            </w:r>
            <w:r>
              <w:fldChar w:fldCharType="begin"/>
            </w:r>
            <w:r>
              <w:instrText xml:space="preserve">PAGEREF _Toc2138125414 \h</w:instrText>
            </w:r>
            <w:r>
              <w:fldChar w:fldCharType="separate"/>
            </w:r>
            <w:r w:rsidRPr="04A132EC" w:rsidR="04A132EC">
              <w:rPr>
                <w:rStyle w:val="Hiperhivatkozs"/>
              </w:rPr>
              <w:t>4</w:t>
            </w:r>
            <w:r>
              <w:fldChar w:fldCharType="end"/>
            </w:r>
          </w:hyperlink>
        </w:p>
        <w:p w:rsidR="00D67FA0" w:rsidP="04A132EC" w:rsidRDefault="00000000" w14:paraId="010F3958" w14:textId="2492F8A5">
          <w:pPr>
            <w:pStyle w:val="TJ2"/>
            <w:tabs>
              <w:tab w:val="left" w:leader="none" w:pos="660"/>
              <w:tab w:val="right" w:leader="dot" w:pos="9285"/>
            </w:tabs>
            <w:rPr>
              <w:rStyle w:val="Hiperhivatkozs"/>
              <w:noProof/>
              <w:kern w:val="2"/>
              <w:lang/>
              <w14:ligatures w14:val="standardContextual"/>
            </w:rPr>
          </w:pPr>
          <w:hyperlink w:anchor="_Toc1535439202">
            <w:r w:rsidRPr="04A132EC" w:rsidR="04A132EC">
              <w:rPr>
                <w:rStyle w:val="Hiperhivatkozs"/>
              </w:rPr>
              <w:t>2.2.</w:t>
            </w:r>
            <w:r>
              <w:tab/>
            </w:r>
            <w:r w:rsidRPr="04A132EC" w:rsidR="04A132EC">
              <w:rPr>
                <w:rStyle w:val="Hiperhivatkozs"/>
              </w:rPr>
              <w:t>German TSOs</w:t>
            </w:r>
            <w:r>
              <w:tab/>
            </w:r>
            <w:r>
              <w:fldChar w:fldCharType="begin"/>
            </w:r>
            <w:r>
              <w:instrText xml:space="preserve">PAGEREF _Toc1535439202 \h</w:instrText>
            </w:r>
            <w:r>
              <w:fldChar w:fldCharType="separate"/>
            </w:r>
            <w:r w:rsidRPr="04A132EC" w:rsidR="04A132EC">
              <w:rPr>
                <w:rStyle w:val="Hiperhivatkozs"/>
              </w:rPr>
              <w:t>4</w:t>
            </w:r>
            <w:r>
              <w:fldChar w:fldCharType="end"/>
            </w:r>
          </w:hyperlink>
        </w:p>
        <w:p w:rsidR="00D67FA0" w:rsidP="04A132EC" w:rsidRDefault="00000000" w14:paraId="40178BB5" w14:textId="3BB81F5C">
          <w:pPr>
            <w:pStyle w:val="TJ2"/>
            <w:tabs>
              <w:tab w:val="left" w:leader="none" w:pos="660"/>
              <w:tab w:val="right" w:leader="dot" w:pos="9285"/>
            </w:tabs>
            <w:rPr>
              <w:rStyle w:val="Hiperhivatkozs"/>
              <w:noProof/>
              <w:kern w:val="2"/>
              <w:lang/>
              <w14:ligatures w14:val="standardContextual"/>
            </w:rPr>
          </w:pPr>
          <w:hyperlink w:anchor="_Toc994002735">
            <w:r w:rsidRPr="04A132EC" w:rsidR="04A132EC">
              <w:rPr>
                <w:rStyle w:val="Hiperhivatkozs"/>
              </w:rPr>
              <w:t>2.3.</w:t>
            </w:r>
            <w:r>
              <w:tab/>
            </w:r>
            <w:r w:rsidRPr="04A132EC" w:rsidR="04A132EC">
              <w:rPr>
                <w:rStyle w:val="Hiperhivatkozs"/>
              </w:rPr>
              <w:t>TENNET TSO BV</w:t>
            </w:r>
            <w:r>
              <w:tab/>
            </w:r>
            <w:r>
              <w:fldChar w:fldCharType="begin"/>
            </w:r>
            <w:r>
              <w:instrText xml:space="preserve">PAGEREF _Toc994002735 \h</w:instrText>
            </w:r>
            <w:r>
              <w:fldChar w:fldCharType="separate"/>
            </w:r>
            <w:r w:rsidRPr="04A132EC" w:rsidR="04A132EC">
              <w:rPr>
                <w:rStyle w:val="Hiperhivatkozs"/>
              </w:rPr>
              <w:t>4</w:t>
            </w:r>
            <w:r>
              <w:fldChar w:fldCharType="end"/>
            </w:r>
          </w:hyperlink>
        </w:p>
        <w:p w:rsidR="00D67FA0" w:rsidP="04A132EC" w:rsidRDefault="00000000" w14:paraId="62577512" w14:textId="0F78EDF0">
          <w:pPr>
            <w:pStyle w:val="TJ1"/>
            <w:tabs>
              <w:tab w:val="left" w:leader="none" w:pos="480"/>
              <w:tab w:val="right" w:leader="dot" w:pos="9285"/>
            </w:tabs>
            <w:rPr>
              <w:rStyle w:val="Hiperhivatkozs"/>
              <w:noProof/>
              <w:kern w:val="2"/>
              <w:lang/>
              <w14:ligatures w14:val="standardContextual"/>
            </w:rPr>
          </w:pPr>
          <w:hyperlink w:anchor="_Toc774302301">
            <w:r w:rsidRPr="04A132EC" w:rsidR="04A132EC">
              <w:rPr>
                <w:rStyle w:val="Hiperhivatkozs"/>
              </w:rPr>
              <w:t>3.</w:t>
            </w:r>
            <w:r>
              <w:tab/>
            </w:r>
            <w:r w:rsidRPr="04A132EC" w:rsidR="04A132EC">
              <w:rPr>
                <w:rStyle w:val="Hiperhivatkozs"/>
              </w:rPr>
              <w:t>ELES</w:t>
            </w:r>
            <w:r>
              <w:tab/>
            </w:r>
            <w:r>
              <w:fldChar w:fldCharType="begin"/>
            </w:r>
            <w:r>
              <w:instrText xml:space="preserve">PAGEREF _Toc774302301 \h</w:instrText>
            </w:r>
            <w:r>
              <w:fldChar w:fldCharType="separate"/>
            </w:r>
            <w:r w:rsidRPr="04A132EC" w:rsidR="04A132EC">
              <w:rPr>
                <w:rStyle w:val="Hiperhivatkozs"/>
              </w:rPr>
              <w:t>4</w:t>
            </w:r>
            <w:r>
              <w:fldChar w:fldCharType="end"/>
            </w:r>
          </w:hyperlink>
        </w:p>
        <w:p w:rsidR="00D67FA0" w:rsidP="04A132EC" w:rsidRDefault="00000000" w14:paraId="5033226F" w14:textId="56C21C9F">
          <w:pPr>
            <w:pStyle w:val="TJ1"/>
            <w:tabs>
              <w:tab w:val="left" w:leader="none" w:pos="480"/>
              <w:tab w:val="right" w:leader="dot" w:pos="9285"/>
            </w:tabs>
            <w:rPr>
              <w:rStyle w:val="Hiperhivatkozs"/>
              <w:noProof/>
              <w:kern w:val="2"/>
              <w:lang/>
              <w14:ligatures w14:val="standardContextual"/>
            </w:rPr>
          </w:pPr>
          <w:hyperlink w:anchor="_Toc522439209">
            <w:r w:rsidRPr="04A132EC" w:rsidR="04A132EC">
              <w:rPr>
                <w:rStyle w:val="Hiperhivatkozs"/>
              </w:rPr>
              <w:t>4.</w:t>
            </w:r>
            <w:r>
              <w:tab/>
            </w:r>
            <w:r w:rsidRPr="04A132EC" w:rsidR="04A132EC">
              <w:rPr>
                <w:rStyle w:val="Hiperhivatkozs"/>
              </w:rPr>
              <w:t>ELIA</w:t>
            </w:r>
            <w:r>
              <w:tab/>
            </w:r>
            <w:r>
              <w:fldChar w:fldCharType="begin"/>
            </w:r>
            <w:r>
              <w:instrText xml:space="preserve">PAGEREF _Toc522439209 \h</w:instrText>
            </w:r>
            <w:r>
              <w:fldChar w:fldCharType="separate"/>
            </w:r>
            <w:r w:rsidRPr="04A132EC" w:rsidR="04A132EC">
              <w:rPr>
                <w:rStyle w:val="Hiperhivatkozs"/>
              </w:rPr>
              <w:t>5</w:t>
            </w:r>
            <w:r>
              <w:fldChar w:fldCharType="end"/>
            </w:r>
          </w:hyperlink>
        </w:p>
        <w:p w:rsidR="00D67FA0" w:rsidP="04A132EC" w:rsidRDefault="00000000" w14:paraId="54BCCF92" w14:textId="4C5060A8">
          <w:pPr>
            <w:pStyle w:val="TJ1"/>
            <w:tabs>
              <w:tab w:val="left" w:leader="none" w:pos="480"/>
              <w:tab w:val="right" w:leader="dot" w:pos="9285"/>
            </w:tabs>
            <w:rPr>
              <w:rStyle w:val="Hiperhivatkozs"/>
              <w:noProof/>
              <w:kern w:val="2"/>
              <w:lang/>
              <w14:ligatures w14:val="standardContextual"/>
            </w:rPr>
          </w:pPr>
          <w:hyperlink w:anchor="_Toc109544001">
            <w:r w:rsidRPr="04A132EC" w:rsidR="04A132EC">
              <w:rPr>
                <w:rStyle w:val="Hiperhivatkozs"/>
              </w:rPr>
              <w:t>5.</w:t>
            </w:r>
            <w:r>
              <w:tab/>
            </w:r>
            <w:r w:rsidRPr="04A132EC" w:rsidR="04A132EC">
              <w:rPr>
                <w:rStyle w:val="Hiperhivatkozs"/>
              </w:rPr>
              <w:t>HOPS</w:t>
            </w:r>
            <w:r>
              <w:tab/>
            </w:r>
            <w:r>
              <w:fldChar w:fldCharType="begin"/>
            </w:r>
            <w:r>
              <w:instrText xml:space="preserve">PAGEREF _Toc109544001 \h</w:instrText>
            </w:r>
            <w:r>
              <w:fldChar w:fldCharType="separate"/>
            </w:r>
            <w:r w:rsidRPr="04A132EC" w:rsidR="04A132EC">
              <w:rPr>
                <w:rStyle w:val="Hiperhivatkozs"/>
              </w:rPr>
              <w:t>5</w:t>
            </w:r>
            <w:r>
              <w:fldChar w:fldCharType="end"/>
            </w:r>
          </w:hyperlink>
        </w:p>
        <w:p w:rsidR="00D67FA0" w:rsidP="04A132EC" w:rsidRDefault="00000000" w14:paraId="6A73E64F" w14:textId="2686DFE0">
          <w:pPr>
            <w:pStyle w:val="TJ1"/>
            <w:tabs>
              <w:tab w:val="left" w:leader="none" w:pos="480"/>
              <w:tab w:val="right" w:leader="dot" w:pos="9285"/>
            </w:tabs>
            <w:rPr>
              <w:rStyle w:val="Hiperhivatkozs"/>
              <w:noProof/>
              <w:kern w:val="2"/>
              <w:lang/>
              <w14:ligatures w14:val="standardContextual"/>
            </w:rPr>
          </w:pPr>
          <w:hyperlink w:anchor="_Toc1967224407">
            <w:r w:rsidRPr="04A132EC" w:rsidR="04A132EC">
              <w:rPr>
                <w:rStyle w:val="Hiperhivatkozs"/>
              </w:rPr>
              <w:t>6.</w:t>
            </w:r>
            <w:r>
              <w:tab/>
            </w:r>
            <w:r w:rsidRPr="04A132EC" w:rsidR="04A132EC">
              <w:rPr>
                <w:rStyle w:val="Hiperhivatkozs"/>
              </w:rPr>
              <w:t>MAVIR</w:t>
            </w:r>
            <w:r>
              <w:tab/>
            </w:r>
            <w:r>
              <w:fldChar w:fldCharType="begin"/>
            </w:r>
            <w:r>
              <w:instrText xml:space="preserve">PAGEREF _Toc1967224407 \h</w:instrText>
            </w:r>
            <w:r>
              <w:fldChar w:fldCharType="separate"/>
            </w:r>
            <w:r w:rsidRPr="04A132EC" w:rsidR="04A132EC">
              <w:rPr>
                <w:rStyle w:val="Hiperhivatkozs"/>
              </w:rPr>
              <w:t>6</w:t>
            </w:r>
            <w:r>
              <w:fldChar w:fldCharType="end"/>
            </w:r>
          </w:hyperlink>
        </w:p>
        <w:p w:rsidR="00D67FA0" w:rsidP="04A132EC" w:rsidRDefault="00000000" w14:paraId="7B574F78" w14:textId="679FA1CE">
          <w:pPr>
            <w:pStyle w:val="TJ1"/>
            <w:tabs>
              <w:tab w:val="left" w:leader="none" w:pos="480"/>
              <w:tab w:val="right" w:leader="dot" w:pos="9285"/>
            </w:tabs>
            <w:rPr>
              <w:rStyle w:val="Hiperhivatkozs"/>
              <w:noProof/>
              <w:kern w:val="2"/>
              <w:lang/>
              <w14:ligatures w14:val="standardContextual"/>
            </w:rPr>
          </w:pPr>
          <w:hyperlink w:anchor="_Toc44545263">
            <w:r w:rsidRPr="04A132EC" w:rsidR="04A132EC">
              <w:rPr>
                <w:rStyle w:val="Hiperhivatkozs"/>
              </w:rPr>
              <w:t>7.</w:t>
            </w:r>
            <w:r>
              <w:tab/>
            </w:r>
            <w:r w:rsidRPr="04A132EC" w:rsidR="04A132EC">
              <w:rPr>
                <w:rStyle w:val="Hiperhivatkozs"/>
              </w:rPr>
              <w:t>PSE</w:t>
            </w:r>
            <w:r>
              <w:tab/>
            </w:r>
            <w:r>
              <w:fldChar w:fldCharType="begin"/>
            </w:r>
            <w:r>
              <w:instrText xml:space="preserve">PAGEREF _Toc44545263 \h</w:instrText>
            </w:r>
            <w:r>
              <w:fldChar w:fldCharType="separate"/>
            </w:r>
            <w:r w:rsidRPr="04A132EC" w:rsidR="04A132EC">
              <w:rPr>
                <w:rStyle w:val="Hiperhivatkozs"/>
              </w:rPr>
              <w:t>8</w:t>
            </w:r>
            <w:r>
              <w:fldChar w:fldCharType="end"/>
            </w:r>
          </w:hyperlink>
        </w:p>
        <w:p w:rsidR="00D67FA0" w:rsidP="04A132EC" w:rsidRDefault="00000000" w14:paraId="5F90A893" w14:textId="70A674DA">
          <w:pPr>
            <w:pStyle w:val="TJ1"/>
            <w:tabs>
              <w:tab w:val="left" w:leader="none" w:pos="480"/>
              <w:tab w:val="right" w:leader="dot" w:pos="9285"/>
            </w:tabs>
            <w:rPr>
              <w:rStyle w:val="Hiperhivatkozs"/>
              <w:noProof/>
              <w:kern w:val="2"/>
              <w:lang/>
              <w14:ligatures w14:val="standardContextual"/>
            </w:rPr>
          </w:pPr>
          <w:hyperlink w:anchor="_Toc494167466">
            <w:r w:rsidRPr="04A132EC" w:rsidR="04A132EC">
              <w:rPr>
                <w:rStyle w:val="Hiperhivatkozs"/>
              </w:rPr>
              <w:t>8.</w:t>
            </w:r>
            <w:r>
              <w:tab/>
            </w:r>
            <w:r w:rsidRPr="04A132EC" w:rsidR="04A132EC">
              <w:rPr>
                <w:rStyle w:val="Hiperhivatkozs"/>
              </w:rPr>
              <w:t>RTE</w:t>
            </w:r>
            <w:r>
              <w:tab/>
            </w:r>
            <w:r>
              <w:fldChar w:fldCharType="begin"/>
            </w:r>
            <w:r>
              <w:instrText xml:space="preserve">PAGEREF _Toc494167466 \h</w:instrText>
            </w:r>
            <w:r>
              <w:fldChar w:fldCharType="separate"/>
            </w:r>
            <w:r w:rsidRPr="04A132EC" w:rsidR="04A132EC">
              <w:rPr>
                <w:rStyle w:val="Hiperhivatkozs"/>
              </w:rPr>
              <w:t>8</w:t>
            </w:r>
            <w:r>
              <w:fldChar w:fldCharType="end"/>
            </w:r>
          </w:hyperlink>
        </w:p>
        <w:p w:rsidR="00D67FA0" w:rsidP="04A132EC" w:rsidRDefault="00000000" w14:paraId="4BA00484" w14:textId="58415B9B">
          <w:pPr>
            <w:pStyle w:val="TJ1"/>
            <w:tabs>
              <w:tab w:val="left" w:leader="none" w:pos="480"/>
              <w:tab w:val="right" w:leader="dot" w:pos="9285"/>
            </w:tabs>
            <w:rPr>
              <w:rStyle w:val="Hiperhivatkozs"/>
              <w:noProof/>
              <w:kern w:val="2"/>
              <w:lang/>
              <w14:ligatures w14:val="standardContextual"/>
            </w:rPr>
          </w:pPr>
          <w:hyperlink w:anchor="_Toc1174429378">
            <w:r w:rsidRPr="04A132EC" w:rsidR="04A132EC">
              <w:rPr>
                <w:rStyle w:val="Hiperhivatkozs"/>
              </w:rPr>
              <w:t>9.</w:t>
            </w:r>
            <w:r>
              <w:tab/>
            </w:r>
            <w:r w:rsidRPr="04A132EC" w:rsidR="04A132EC">
              <w:rPr>
                <w:rStyle w:val="Hiperhivatkozs"/>
              </w:rPr>
              <w:t>SEPS</w:t>
            </w:r>
            <w:r>
              <w:tab/>
            </w:r>
            <w:r>
              <w:fldChar w:fldCharType="begin"/>
            </w:r>
            <w:r>
              <w:instrText xml:space="preserve">PAGEREF _Toc1174429378 \h</w:instrText>
            </w:r>
            <w:r>
              <w:fldChar w:fldCharType="separate"/>
            </w:r>
            <w:r w:rsidRPr="04A132EC" w:rsidR="04A132EC">
              <w:rPr>
                <w:rStyle w:val="Hiperhivatkozs"/>
              </w:rPr>
              <w:t>8</w:t>
            </w:r>
            <w:r>
              <w:fldChar w:fldCharType="end"/>
            </w:r>
          </w:hyperlink>
        </w:p>
        <w:p w:rsidR="00D67FA0" w:rsidP="04A132EC" w:rsidRDefault="00000000" w14:paraId="54DA121F" w14:textId="442E6293">
          <w:pPr>
            <w:pStyle w:val="TJ1"/>
            <w:tabs>
              <w:tab w:val="left" w:leader="none" w:pos="480"/>
              <w:tab w:val="right" w:leader="dot" w:pos="9285"/>
            </w:tabs>
            <w:rPr>
              <w:rStyle w:val="Hiperhivatkozs"/>
              <w:noProof/>
              <w:kern w:val="2"/>
              <w:lang/>
              <w14:ligatures w14:val="standardContextual"/>
            </w:rPr>
          </w:pPr>
          <w:hyperlink w:anchor="_Toc687864657">
            <w:r w:rsidRPr="04A132EC" w:rsidR="04A132EC">
              <w:rPr>
                <w:rStyle w:val="Hiperhivatkozs"/>
              </w:rPr>
              <w:t>10.</w:t>
            </w:r>
            <w:r>
              <w:tab/>
            </w:r>
            <w:r w:rsidRPr="04A132EC" w:rsidR="04A132EC">
              <w:rPr>
                <w:rStyle w:val="Hiperhivatkozs"/>
              </w:rPr>
              <w:t>Transelectrica</w:t>
            </w:r>
            <w:r>
              <w:tab/>
            </w:r>
            <w:r>
              <w:fldChar w:fldCharType="begin"/>
            </w:r>
            <w:r>
              <w:instrText xml:space="preserve">PAGEREF _Toc687864657 \h</w:instrText>
            </w:r>
            <w:r>
              <w:fldChar w:fldCharType="separate"/>
            </w:r>
            <w:r w:rsidRPr="04A132EC" w:rsidR="04A132EC">
              <w:rPr>
                <w:rStyle w:val="Hiperhivatkozs"/>
              </w:rPr>
              <w:t>8</w:t>
            </w:r>
            <w:r>
              <w:fldChar w:fldCharType="end"/>
            </w:r>
          </w:hyperlink>
          <w:r>
            <w:fldChar w:fldCharType="end"/>
          </w:r>
        </w:p>
      </w:sdtContent>
    </w:sdt>
    <w:p w:rsidR="799E5D96" w:rsidP="799E5D96" w:rsidRDefault="799E5D96" w14:paraId="6AFF0DE0" w14:textId="4CF604C1">
      <w:pPr>
        <w:pStyle w:val="TJ1"/>
        <w:tabs>
          <w:tab w:val="left" w:pos="390"/>
          <w:tab w:val="right" w:leader="dot" w:pos="9285"/>
        </w:tabs>
        <w:rPr>
          <w:rStyle w:val="Hiperhivatkozs"/>
        </w:rPr>
      </w:pPr>
    </w:p>
    <w:p w:rsidR="0012099C" w:rsidP="3D3D809A" w:rsidRDefault="0012099C" w14:paraId="54486E88" w14:textId="7BE510CA">
      <w:pPr>
        <w:pStyle w:val="TJ1"/>
        <w:tabs>
          <w:tab w:val="left" w:pos="480"/>
          <w:tab w:val="right" w:leader="dot" w:pos="9285"/>
        </w:tabs>
        <w:rPr>
          <w:rStyle w:val="Hiperhivatkozs"/>
          <w:noProof/>
          <w:kern w:val="2"/>
          <w14:ligatures w14:val="standardContextual"/>
        </w:rPr>
      </w:pPr>
    </w:p>
    <w:p w:rsidR="00AC6725" w:rsidP="0A478607" w:rsidRDefault="00AC6725" w14:paraId="06647A8E" w14:textId="79C5300B">
      <w:pPr>
        <w:pStyle w:val="TJ1"/>
        <w:tabs>
          <w:tab w:val="left" w:pos="480"/>
          <w:tab w:val="right" w:leader="dot" w:pos="9285"/>
        </w:tabs>
        <w:rPr>
          <w:rStyle w:val="Hiperhivatkozs"/>
          <w:noProof/>
          <w:kern w:val="2"/>
          <w:lang w:eastAsia="en-GB"/>
          <w14:ligatures w14:val="standardContextual"/>
        </w:rPr>
      </w:pPr>
    </w:p>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006F03" w:rsidP="54C48B70" w:rsidRDefault="799E5D96" w14:paraId="3B6A9FD0" w14:textId="572C2450">
      <w:pPr>
        <w:pStyle w:val="Cmsor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End w:id="7"/>
      <w:bookmarkEnd w:id="8"/>
      <w:bookmarkEnd w:id="9"/>
      <w:bookmarkEnd w:id="10"/>
      <w:bookmarkEnd w:id="11"/>
      <w:bookmarkEnd w:id="12"/>
      <w:bookmarkStart w:name="_Toc1741654653" w:id="850233590"/>
      <w:r w:rsidR="04A132EC">
        <w:rPr/>
        <w:t>Introduction</w:t>
      </w:r>
      <w:bookmarkStart w:name="_Toc470688454" w:id="20"/>
      <w:bookmarkStart w:name="_Toc470689108" w:id="21"/>
      <w:bookmarkEnd w:id="13"/>
      <w:bookmarkEnd w:id="14"/>
      <w:bookmarkEnd w:id="15"/>
      <w:bookmarkEnd w:id="16"/>
      <w:bookmarkEnd w:id="17"/>
      <w:bookmarkEnd w:id="18"/>
      <w:bookmarkEnd w:id="20"/>
      <w:bookmarkEnd w:id="21"/>
      <w:bookmarkEnd w:id="850233590"/>
    </w:p>
    <w:p w:rsidR="3946F685" w:rsidP="3946F685" w:rsidRDefault="54C48B70" w14:paraId="584C4529" w14:textId="230D515D">
      <w:r w:rsidRPr="598EE7ED" w:rsidR="598EE7ED">
        <w:rPr>
          <w:rFonts w:eastAsia="Arial" w:cs="Arial"/>
          <w:color w:val="000000" w:themeColor="text1" w:themeTint="FF" w:themeShade="FF"/>
        </w:rPr>
        <w:t xml:space="preserve">This annex </w:t>
      </w:r>
      <w:r w:rsidRPr="598EE7ED" w:rsidR="598EE7ED">
        <w:rPr>
          <w:rFonts w:eastAsia="Arial" w:cs="Arial"/>
          <w:color w:val="000000" w:themeColor="text1" w:themeTint="FF" w:themeShade="FF"/>
        </w:rPr>
        <w:t>contains</w:t>
      </w:r>
      <w:r w:rsidRPr="598EE7ED" w:rsidR="598EE7ED">
        <w:rPr>
          <w:rFonts w:eastAsia="Arial" w:cs="Arial"/>
          <w:color w:val="000000" w:themeColor="text1" w:themeTint="FF" w:themeShade="FF"/>
        </w:rPr>
        <w:t xml:space="preserve"> the required information for each Core TSO that has applied capacity reductions for its CNECs in more than 1% of ID CC MTUs of the analysed quarter as described per Article 18(12)</w:t>
      </w:r>
      <w:r w:rsidRPr="598EE7ED" w:rsidR="598EE7ED">
        <w:rPr>
          <w:rFonts w:eastAsia="Arial" w:cs="Arial"/>
          <w:color w:val="000000" w:themeColor="text1" w:themeTint="FF" w:themeShade="FF"/>
        </w:rPr>
        <w:t xml:space="preserve">. </w:t>
      </w:r>
      <w:r w:rsidRPr="598EE7ED" w:rsidR="598EE7ED">
        <w:rPr>
          <w:rFonts w:eastAsia="Arial" w:cs="Arial"/>
        </w:rPr>
        <w:t xml:space="preserve"> </w:t>
      </w:r>
    </w:p>
    <w:bookmarkEnd w:id="6"/>
    <w:p w:rsidR="598EE7ED" w:rsidP="598EE7ED" w:rsidRDefault="598EE7ED" w14:paraId="30C1FE4B" w14:textId="7F929FE0">
      <w:pPr>
        <w:rPr>
          <w:rFonts w:eastAsia="Arial" w:cs="Arial"/>
        </w:rPr>
      </w:pPr>
    </w:p>
    <w:p w:rsidR="598EE7ED" w:rsidP="598EE7ED" w:rsidRDefault="598EE7ED" w14:paraId="38CF81A4" w14:textId="65C582BB">
      <w:pPr>
        <w:rPr>
          <w:rFonts w:eastAsia="Arial" w:cs="Arial"/>
        </w:rPr>
      </w:pPr>
    </w:p>
    <w:p w:rsidR="598EE7ED" w:rsidP="598EE7ED" w:rsidRDefault="598EE7ED" w14:paraId="5952B199" w14:textId="37B6238C">
      <w:pPr>
        <w:rPr>
          <w:rFonts w:eastAsia="Arial" w:cs="Arial"/>
        </w:rPr>
      </w:pPr>
    </w:p>
    <w:p w:rsidR="598EE7ED" w:rsidP="598EE7ED" w:rsidRDefault="598EE7ED" w14:paraId="72698A52" w14:textId="5933F564">
      <w:pPr>
        <w:rPr>
          <w:rFonts w:eastAsia="Arial" w:cs="Arial"/>
        </w:rPr>
      </w:pPr>
    </w:p>
    <w:p w:rsidR="598EE7ED" w:rsidP="598EE7ED" w:rsidRDefault="598EE7ED" w14:paraId="6E22CA62" w14:textId="2D8B9A66">
      <w:pPr>
        <w:rPr>
          <w:rFonts w:eastAsia="Arial" w:cs="Arial"/>
        </w:rPr>
      </w:pPr>
    </w:p>
    <w:p w:rsidR="598EE7ED" w:rsidP="598EE7ED" w:rsidRDefault="598EE7ED" w14:paraId="0E52A4C2" w14:textId="1697AEEE">
      <w:pPr>
        <w:rPr>
          <w:rFonts w:eastAsia="Arial" w:cs="Arial"/>
        </w:rPr>
      </w:pPr>
    </w:p>
    <w:p w:rsidR="598EE7ED" w:rsidP="598EE7ED" w:rsidRDefault="598EE7ED" w14:paraId="5B37AFEB" w14:textId="684380DB">
      <w:pPr>
        <w:rPr>
          <w:rFonts w:eastAsia="Arial" w:cs="Arial"/>
        </w:rPr>
      </w:pPr>
    </w:p>
    <w:p w:rsidR="598EE7ED" w:rsidP="598EE7ED" w:rsidRDefault="598EE7ED" w14:paraId="5B27E3D4" w14:textId="2C4BD918">
      <w:pPr>
        <w:rPr>
          <w:rFonts w:eastAsia="Arial" w:cs="Arial"/>
        </w:rPr>
      </w:pPr>
    </w:p>
    <w:p w:rsidR="598EE7ED" w:rsidP="598EE7ED" w:rsidRDefault="598EE7ED" w14:paraId="04EF5D59" w14:textId="16FA197F">
      <w:pPr>
        <w:rPr>
          <w:rFonts w:eastAsia="Arial" w:cs="Arial"/>
        </w:rPr>
      </w:pPr>
    </w:p>
    <w:p w:rsidR="598EE7ED" w:rsidP="598EE7ED" w:rsidRDefault="598EE7ED" w14:paraId="35031257" w14:textId="7C9E3BAB">
      <w:pPr>
        <w:rPr>
          <w:rFonts w:eastAsia="Arial" w:cs="Arial"/>
        </w:rPr>
      </w:pPr>
    </w:p>
    <w:p w:rsidR="598EE7ED" w:rsidP="598EE7ED" w:rsidRDefault="598EE7ED" w14:paraId="432B79C1" w14:textId="694659B0">
      <w:pPr>
        <w:rPr>
          <w:rFonts w:eastAsia="Arial" w:cs="Arial"/>
        </w:rPr>
      </w:pPr>
    </w:p>
    <w:p w:rsidR="598EE7ED" w:rsidP="598EE7ED" w:rsidRDefault="598EE7ED" w14:paraId="02BCAA8D" w14:textId="3EB2CD46">
      <w:pPr>
        <w:rPr>
          <w:rFonts w:eastAsia="Arial" w:cs="Arial"/>
        </w:rPr>
      </w:pPr>
    </w:p>
    <w:p w:rsidR="598EE7ED" w:rsidP="598EE7ED" w:rsidRDefault="598EE7ED" w14:paraId="49C95DFA" w14:textId="17564219">
      <w:pPr>
        <w:rPr>
          <w:rFonts w:eastAsia="Arial" w:cs="Arial"/>
        </w:rPr>
      </w:pPr>
    </w:p>
    <w:p w:rsidR="598EE7ED" w:rsidP="598EE7ED" w:rsidRDefault="598EE7ED" w14:paraId="7F2AC80B" w14:textId="15B608BC">
      <w:pPr>
        <w:rPr>
          <w:rFonts w:eastAsia="Arial" w:cs="Arial"/>
        </w:rPr>
      </w:pPr>
    </w:p>
    <w:p w:rsidR="598EE7ED" w:rsidP="598EE7ED" w:rsidRDefault="598EE7ED" w14:paraId="1B64E63F" w14:textId="5748AACE">
      <w:pPr>
        <w:rPr>
          <w:rFonts w:eastAsia="Arial" w:cs="Arial"/>
        </w:rPr>
      </w:pPr>
    </w:p>
    <w:p w:rsidR="598EE7ED" w:rsidP="598EE7ED" w:rsidRDefault="598EE7ED" w14:paraId="4F9E5F32" w14:textId="45639C5A">
      <w:pPr>
        <w:rPr>
          <w:rFonts w:eastAsia="Arial" w:cs="Arial"/>
        </w:rPr>
      </w:pPr>
    </w:p>
    <w:p w:rsidR="598EE7ED" w:rsidP="598EE7ED" w:rsidRDefault="598EE7ED" w14:paraId="14300DBB" w14:textId="62A3A2FB">
      <w:pPr>
        <w:rPr>
          <w:rFonts w:eastAsia="Arial" w:cs="Arial"/>
        </w:rPr>
      </w:pPr>
    </w:p>
    <w:p w:rsidR="598EE7ED" w:rsidP="598EE7ED" w:rsidRDefault="598EE7ED" w14:paraId="78E4B40E" w14:textId="2960A997">
      <w:pPr>
        <w:rPr>
          <w:rFonts w:eastAsia="Arial" w:cs="Arial"/>
        </w:rPr>
      </w:pPr>
    </w:p>
    <w:p w:rsidR="598EE7ED" w:rsidP="598EE7ED" w:rsidRDefault="598EE7ED" w14:paraId="55EA3F71" w14:textId="059A7DAA">
      <w:pPr>
        <w:rPr>
          <w:rFonts w:eastAsia="Arial" w:cs="Arial"/>
        </w:rPr>
      </w:pPr>
    </w:p>
    <w:p w:rsidR="598EE7ED" w:rsidP="598EE7ED" w:rsidRDefault="598EE7ED" w14:paraId="7A9374FA" w14:textId="6BE86EB5">
      <w:pPr>
        <w:rPr>
          <w:rFonts w:eastAsia="Arial" w:cs="Arial"/>
        </w:rPr>
      </w:pPr>
    </w:p>
    <w:p w:rsidR="598EE7ED" w:rsidP="598EE7ED" w:rsidRDefault="598EE7ED" w14:paraId="114DB9FB" w14:textId="232A1056">
      <w:pPr>
        <w:rPr>
          <w:rFonts w:eastAsia="Arial" w:cs="Arial"/>
        </w:rPr>
      </w:pPr>
    </w:p>
    <w:p w:rsidR="598EE7ED" w:rsidP="598EE7ED" w:rsidRDefault="598EE7ED" w14:paraId="25B522EB" w14:textId="7E828763">
      <w:pPr>
        <w:rPr>
          <w:rFonts w:eastAsia="Arial" w:cs="Arial"/>
        </w:rPr>
      </w:pPr>
    </w:p>
    <w:p w:rsidR="598EE7ED" w:rsidP="598EE7ED" w:rsidRDefault="598EE7ED" w14:paraId="3DFC3457" w14:textId="15841D40">
      <w:pPr>
        <w:rPr>
          <w:rFonts w:eastAsia="Arial" w:cs="Arial"/>
        </w:rPr>
      </w:pPr>
    </w:p>
    <w:p w:rsidR="598EE7ED" w:rsidP="598EE7ED" w:rsidRDefault="598EE7ED" w14:paraId="52C114AB" w14:textId="7362A5E8">
      <w:pPr>
        <w:rPr>
          <w:rFonts w:eastAsia="Arial" w:cs="Arial"/>
        </w:rPr>
      </w:pPr>
    </w:p>
    <w:p w:rsidR="598EE7ED" w:rsidP="598EE7ED" w:rsidRDefault="598EE7ED" w14:paraId="0353D886" w14:textId="6C704BB6">
      <w:pPr>
        <w:rPr>
          <w:rFonts w:eastAsia="Arial" w:cs="Arial"/>
        </w:rPr>
      </w:pPr>
    </w:p>
    <w:p w:rsidR="598EE7ED" w:rsidP="598EE7ED" w:rsidRDefault="598EE7ED" w14:paraId="3A424E58" w14:textId="589A7CFC">
      <w:pPr>
        <w:rPr>
          <w:rFonts w:eastAsia="Arial" w:cs="Arial"/>
        </w:rPr>
      </w:pPr>
    </w:p>
    <w:p w:rsidR="598EE7ED" w:rsidP="598EE7ED" w:rsidRDefault="598EE7ED" w14:paraId="67495C34" w14:textId="38107660">
      <w:pPr>
        <w:rPr>
          <w:rFonts w:eastAsia="Arial" w:cs="Arial"/>
        </w:rPr>
      </w:pPr>
    </w:p>
    <w:p w:rsidR="598EE7ED" w:rsidP="598EE7ED" w:rsidRDefault="598EE7ED" w14:paraId="2020DAFC" w14:textId="469386EF">
      <w:pPr>
        <w:rPr>
          <w:rFonts w:eastAsia="Arial" w:cs="Arial"/>
        </w:rPr>
      </w:pPr>
    </w:p>
    <w:p w:rsidR="598EE7ED" w:rsidP="598EE7ED" w:rsidRDefault="598EE7ED" w14:paraId="553F4A39" w14:textId="657F42C9">
      <w:pPr>
        <w:rPr>
          <w:rFonts w:eastAsia="Arial" w:cs="Arial"/>
        </w:rPr>
      </w:pPr>
    </w:p>
    <w:p w:rsidR="54C48B70" w:rsidP="598EE7ED" w:rsidRDefault="54C48B70" w14:paraId="6CB8F637" w14:textId="2F1D20FD">
      <w:pPr>
        <w:pStyle w:val="Norml"/>
      </w:pPr>
    </w:p>
    <w:p w:rsidR="598EE7ED" w:rsidP="598EE7ED" w:rsidRDefault="598EE7ED" w14:paraId="29358A45" w14:textId="416A0AF7">
      <w:pPr>
        <w:pStyle w:val="Norml"/>
      </w:pPr>
    </w:p>
    <w:p w:rsidR="598EE7ED" w:rsidP="598EE7ED" w:rsidRDefault="598EE7ED" w14:paraId="4A05E55C" w14:textId="1E6A3846">
      <w:pPr>
        <w:pStyle w:val="Norml"/>
      </w:pPr>
    </w:p>
    <w:p w:rsidR="598EE7ED" w:rsidP="598EE7ED" w:rsidRDefault="598EE7ED" w14:paraId="33012D3B" w14:textId="35707AF5">
      <w:pPr>
        <w:pStyle w:val="Norml"/>
      </w:pPr>
    </w:p>
    <w:p w:rsidR="598EE7ED" w:rsidP="598EE7ED" w:rsidRDefault="598EE7ED" w14:paraId="3DF24E1F" w14:textId="6ECCC5FA">
      <w:pPr>
        <w:pStyle w:val="Norml"/>
      </w:pPr>
    </w:p>
    <w:p w:rsidR="598EE7ED" w:rsidP="598EE7ED" w:rsidRDefault="598EE7ED" w14:paraId="703A28B8" w14:textId="541965FE">
      <w:pPr>
        <w:pStyle w:val="Norml"/>
      </w:pPr>
    </w:p>
    <w:p w:rsidR="598EE7ED" w:rsidP="598EE7ED" w:rsidRDefault="598EE7ED" w14:paraId="5658858E" w14:textId="37B359CF">
      <w:pPr>
        <w:pStyle w:val="Norml"/>
      </w:pPr>
    </w:p>
    <w:p w:rsidRPr="00272671" w:rsidR="00E313E3" w:rsidP="00272671" w:rsidRDefault="799E5D96" w14:paraId="0D8124DD" w14:textId="4D00C96F">
      <w:pPr>
        <w:pStyle w:val="Cmsor1"/>
        <w:rPr/>
      </w:pPr>
      <w:bookmarkStart w:name="_Toc73696910" w:id="22"/>
      <w:bookmarkStart w:name="_Toc2114136150" w:id="234546819"/>
      <w:r w:rsidR="04A132EC">
        <w:rPr/>
        <w:t>CEPS</w:t>
      </w:r>
      <w:bookmarkEnd w:id="22"/>
      <w:bookmarkEnd w:id="234546819"/>
    </w:p>
    <w:p w:rsidR="598EE7ED" w:rsidP="598EE7ED" w:rsidRDefault="598EE7ED" w14:paraId="12C61C44" w14:textId="775F457D">
      <w:pPr>
        <w:pStyle w:val="Norml"/>
      </w:pPr>
      <w:r w:rsidR="598EE7ED">
        <w:rPr/>
        <w:t>During the second quarter of 2025, the Czech transmission system operator (ČEPS) applied the Individual Validation Adjustment (IVA) procedure a total of 49 times.</w:t>
      </w:r>
    </w:p>
    <w:p w:rsidR="598EE7ED" w:rsidP="598EE7ED" w:rsidRDefault="598EE7ED" w14:paraId="373D8871" w14:textId="73CEC3B6">
      <w:pPr>
        <w:pStyle w:val="Norml"/>
      </w:pPr>
      <w:r w:rsidR="598EE7ED">
        <w:rPr/>
        <w:t>These adjustments were exclusively related to the V443, V444, and V245 interconnection lines located in the CZ–PL–SK corner of the grid—an area consistently subject to high transit flow pressure.</w:t>
      </w:r>
    </w:p>
    <w:p w:rsidR="598EE7ED" w:rsidP="598EE7ED" w:rsidRDefault="598EE7ED" w14:paraId="685003D5" w14:textId="7FADE6E8">
      <w:pPr>
        <w:pStyle w:val="Norml"/>
      </w:pPr>
      <w:r w:rsidR="598EE7ED">
        <w:rPr/>
        <w:t>A significant portion of the IVA applications stemmed from the fact that these lines were already heavily utilized in the day-ahead market, despite meeting the 70% cross-zonal capacity criterion. This pre-existing usage limited operational flexibility and, in several cases, triggered the need for IVA due to insufficient margin for secure operation.</w:t>
      </w:r>
    </w:p>
    <w:p w:rsidR="598EE7ED" w:rsidP="598EE7ED" w:rsidRDefault="598EE7ED" w14:paraId="32C1343C" w14:textId="584A817F">
      <w:pPr>
        <w:pStyle w:val="Norml"/>
      </w:pPr>
      <w:r w:rsidR="598EE7ED">
        <w:rPr/>
        <w:t>Additionally, some instances of IVA were prompted by unresolved grid issues within the DACF (Day-Ahead Congestion Forecast) models used for running the IDCC(b). These deficiencies made the initial forecasts unsuitable for reliable capacity evaluation, necessitating validation adjustments to maintain system security.</w:t>
      </w:r>
    </w:p>
    <w:p w:rsidR="598EE7ED" w:rsidP="598EE7ED" w:rsidRDefault="598EE7ED" w14:paraId="41399DA3" w14:textId="02BE76EF">
      <w:pPr>
        <w:pStyle w:val="Norml"/>
      </w:pPr>
      <w:r w:rsidR="04A132EC">
        <w:rPr/>
        <w:t>The increased frequency of IVA in Q2 reflects the operational challenges in a highly utilized grid region, while also underscoring ČEPS's proactive approach in adapting to forecast limitations and preserving grid security under pressure.</w:t>
      </w:r>
    </w:p>
    <w:p w:rsidRPr="00272671" w:rsidR="03D1E99D" w:rsidP="00272671" w:rsidRDefault="799E5D96" w14:paraId="2E0D852A" w14:textId="0F9F936C">
      <w:pPr>
        <w:pStyle w:val="Cmsor1"/>
        <w:rPr/>
      </w:pPr>
      <w:bookmarkStart w:name="_Toc1991713034" w:id="988259459"/>
      <w:r w:rsidR="04A132EC">
        <w:rPr/>
        <w:t>DAVinCy</w:t>
      </w:r>
      <w:r w:rsidR="04A132EC">
        <w:rPr/>
        <w:t xml:space="preserve"> TSOs</w:t>
      </w:r>
      <w:bookmarkEnd w:id="988259459"/>
    </w:p>
    <w:p w:rsidR="03D1E99D" w:rsidP="00B74194" w:rsidRDefault="799E5D96" w14:paraId="6DBFCF43" w14:textId="47C9773C">
      <w:pPr>
        <w:pStyle w:val="Cmsor2"/>
        <w:rPr/>
      </w:pPr>
      <w:bookmarkStart w:name="_Toc2138125414" w:id="365597089"/>
      <w:r w:rsidR="04A132EC">
        <w:rPr/>
        <w:t>APG</w:t>
      </w:r>
      <w:bookmarkEnd w:id="365597089"/>
    </w:p>
    <w:p w:rsidR="03D1E99D" w:rsidP="00B74194" w:rsidRDefault="799E5D96" w14:paraId="39A4912F" w14:textId="6EE902FB">
      <w:pPr>
        <w:pStyle w:val="Cmsor2"/>
        <w:rPr/>
      </w:pPr>
      <w:bookmarkStart w:name="_Toc1535439202" w:id="2011776883"/>
      <w:r w:rsidR="04A132EC">
        <w:rPr/>
        <w:t>German TSOs</w:t>
      </w:r>
      <w:bookmarkEnd w:id="2011776883"/>
    </w:p>
    <w:p w:rsidRPr="00B74194" w:rsidR="03D1E99D" w:rsidP="00B74194" w:rsidRDefault="799E5D96" w14:paraId="221AAB04" w14:textId="16E50386">
      <w:pPr>
        <w:pStyle w:val="Cmsor2"/>
        <w:rPr/>
      </w:pPr>
      <w:bookmarkStart w:name="_Toc994002735" w:id="421304214"/>
      <w:r w:rsidR="04A132EC">
        <w:rPr/>
        <w:t>TENNET TSO BV</w:t>
      </w:r>
      <w:bookmarkEnd w:id="421304214"/>
    </w:p>
    <w:p w:rsidRPr="00272671" w:rsidR="00E313E3" w:rsidP="00272671" w:rsidRDefault="06328981" w14:paraId="14A5302E" w14:textId="228A799E">
      <w:pPr>
        <w:pStyle w:val="Cmsor1"/>
        <w:rPr/>
      </w:pPr>
      <w:bookmarkStart w:name="_Toc774302301" w:id="626784037"/>
      <w:r w:rsidR="04A132EC">
        <w:rPr/>
        <w:t>ELES</w:t>
      </w:r>
      <w:bookmarkEnd w:id="626784037"/>
    </w:p>
    <w:p w:rsidR="4C36C1AF" w:rsidP="4C36C1AF" w:rsidRDefault="4C36C1AF" w14:paraId="49807F0C" w14:textId="27224FB9">
      <w:pPr>
        <w:spacing w:before="0" w:beforeAutospacing="off" w:after="0" w:afterAutospacing="off" w:line="312" w:lineRule="auto"/>
        <w:jc w:val="both"/>
      </w:pPr>
      <w:r w:rsidRPr="4C36C1AF" w:rsidR="4C36C1AF">
        <w:rPr>
          <w:rFonts w:ascii="Arial" w:hAnsi="Arial" w:eastAsia="Arial" w:cs="Arial"/>
          <w:b w:val="1"/>
          <w:bCs w:val="1"/>
          <w:noProof w:val="0"/>
          <w:sz w:val="20"/>
          <w:szCs w:val="20"/>
          <w:lang w:val="en-GB"/>
        </w:rPr>
        <w:t xml:space="preserve">General measures to avoid cross-zonal capacity reductions in the future, as per </w:t>
      </w:r>
      <w:r w:rsidRPr="4C36C1AF" w:rsidR="4C36C1AF">
        <w:rPr>
          <w:rFonts w:ascii="Arial" w:hAnsi="Arial" w:eastAsia="Arial" w:cs="Arial"/>
          <w:b w:val="1"/>
          <w:bCs w:val="1"/>
          <w:noProof w:val="0"/>
          <w:sz w:val="20"/>
          <w:szCs w:val="20"/>
          <w:lang w:val="en-IE"/>
        </w:rPr>
        <w:t xml:space="preserve">Article 18(11)(b) </w:t>
      </w:r>
      <w:r w:rsidRPr="4C36C1AF" w:rsidR="4C36C1AF">
        <w:rPr>
          <w:rFonts w:ascii="Arial" w:hAnsi="Arial" w:eastAsia="Arial" w:cs="Arial"/>
          <w:b w:val="1"/>
          <w:bCs w:val="1"/>
          <w:noProof w:val="0"/>
          <w:sz w:val="20"/>
          <w:szCs w:val="20"/>
          <w:lang w:val="en-GB"/>
        </w:rPr>
        <w:t>of ID CCM:</w:t>
      </w:r>
    </w:p>
    <w:p w:rsidR="4C36C1AF" w:rsidP="4C36C1AF" w:rsidRDefault="4C36C1AF" w14:paraId="400B5F69" w14:textId="3718E655">
      <w:pPr>
        <w:spacing w:before="0" w:beforeAutospacing="off" w:after="0" w:afterAutospacing="off" w:line="312" w:lineRule="auto"/>
        <w:jc w:val="left"/>
      </w:pPr>
      <w:r w:rsidRPr="4C36C1AF" w:rsidR="4C36C1AF">
        <w:rPr>
          <w:rFonts w:ascii="Arial" w:hAnsi="Arial" w:eastAsia="Arial" w:cs="Arial"/>
          <w:noProof w:val="0"/>
          <w:sz w:val="20"/>
          <w:szCs w:val="20"/>
          <w:lang w:val="en-IE"/>
        </w:rPr>
        <w:t xml:space="preserve"> </w:t>
      </w:r>
    </w:p>
    <w:p w:rsidR="4C36C1AF" w:rsidP="4C36C1AF" w:rsidRDefault="4C36C1AF" w14:paraId="4CCD25ED" w14:textId="20A3F11F">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4C36C1AF" w:rsidR="4C36C1AF">
        <w:rPr>
          <w:rFonts w:ascii="Arial" w:hAnsi="Arial" w:eastAsia="Arial" w:cs="Arial"/>
          <w:noProof w:val="0"/>
          <w:sz w:val="20"/>
          <w:szCs w:val="20"/>
          <w:lang w:val="en-GB"/>
        </w:rPr>
        <w:t>Improvement in congestion management – we will continue to improve the quality of our inputs for CORE ID CC in order to avoid unnecessary IVA application in case of errors in inputs files.</w:t>
      </w:r>
    </w:p>
    <w:p w:rsidR="4C36C1AF" w:rsidP="4C36C1AF" w:rsidRDefault="4C36C1AF" w14:paraId="315DB6C3" w14:textId="065DAF4F">
      <w:pPr>
        <w:spacing w:before="0" w:beforeAutospacing="off" w:after="0" w:afterAutospacing="off" w:line="312" w:lineRule="auto"/>
        <w:jc w:val="left"/>
      </w:pPr>
      <w:r w:rsidRPr="4C36C1AF" w:rsidR="4C36C1AF">
        <w:rPr>
          <w:rFonts w:ascii="Arial" w:hAnsi="Arial" w:eastAsia="Arial" w:cs="Arial"/>
          <w:noProof w:val="0"/>
          <w:sz w:val="20"/>
          <w:szCs w:val="20"/>
          <w:lang w:val="en-GB"/>
        </w:rPr>
        <w:t xml:space="preserve"> </w:t>
      </w:r>
    </w:p>
    <w:p w:rsidR="4C36C1AF" w:rsidP="4C36C1AF" w:rsidRDefault="4C36C1AF" w14:paraId="358070BD" w14:textId="4D6DB869">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4C36C1AF" w:rsidR="4C36C1AF">
        <w:rPr>
          <w:rFonts w:ascii="Arial" w:hAnsi="Arial" w:eastAsia="Arial" w:cs="Arial"/>
          <w:noProof w:val="0"/>
          <w:sz w:val="20"/>
          <w:szCs w:val="20"/>
          <w:lang w:val="en-GB"/>
        </w:rPr>
        <w:t xml:space="preserve">Network development and optimisation. </w:t>
      </w:r>
    </w:p>
    <w:p w:rsidR="4C36C1AF" w:rsidP="4C36C1AF" w:rsidRDefault="4C36C1AF" w14:paraId="3002CEFE" w14:textId="24A5697A">
      <w:pPr>
        <w:spacing w:before="0" w:beforeAutospacing="off" w:after="0" w:afterAutospacing="off" w:line="312" w:lineRule="auto"/>
        <w:jc w:val="left"/>
      </w:pPr>
      <w:r w:rsidRPr="04A132EC" w:rsidR="04A132EC">
        <w:rPr>
          <w:rFonts w:ascii="Arial" w:hAnsi="Arial" w:eastAsia="Arial" w:cs="Arial"/>
          <w:noProof w:val="0"/>
          <w:sz w:val="20"/>
          <w:szCs w:val="20"/>
          <w:lang w:val="en-IE"/>
        </w:rPr>
        <w:t xml:space="preserve"> </w:t>
      </w:r>
    </w:p>
    <w:p w:rsidR="4C36C1AF" w:rsidP="4C36C1AF" w:rsidRDefault="4C36C1AF" w14:paraId="111388E3" w14:textId="1C04FE79">
      <w:pPr>
        <w:spacing w:before="0" w:beforeAutospacing="off" w:after="0" w:afterAutospacing="off" w:line="312" w:lineRule="auto"/>
        <w:jc w:val="left"/>
      </w:pPr>
      <w:r w:rsidRPr="4C36C1AF" w:rsidR="4C36C1AF">
        <w:rPr>
          <w:rFonts w:ascii="Arial" w:hAnsi="Arial" w:eastAsia="Arial" w:cs="Arial"/>
          <w:b w:val="1"/>
          <w:bCs w:val="1"/>
          <w:noProof w:val="0"/>
          <w:sz w:val="20"/>
          <w:szCs w:val="20"/>
          <w:lang w:val="en-GB"/>
        </w:rPr>
        <w:t xml:space="preserve">Detailed report and action plan describing how such deviations are expected to be alleviated and solved in the future </w:t>
      </w:r>
      <w:r w:rsidRPr="4C36C1AF" w:rsidR="4C36C1AF">
        <w:rPr>
          <w:rFonts w:ascii="Arial" w:hAnsi="Arial" w:eastAsia="Arial" w:cs="Arial"/>
          <w:b w:val="1"/>
          <w:bCs w:val="1"/>
          <w:noProof w:val="0"/>
          <w:sz w:val="20"/>
          <w:szCs w:val="20"/>
          <w:lang w:val="en-IE"/>
        </w:rPr>
        <w:t>as per Article 18(10)(h)(</w:t>
      </w:r>
      <w:r w:rsidRPr="4C36C1AF" w:rsidR="4C36C1AF">
        <w:rPr>
          <w:rFonts w:ascii="Arial" w:hAnsi="Arial" w:eastAsia="Arial" w:cs="Arial"/>
          <w:b w:val="1"/>
          <w:bCs w:val="1"/>
          <w:noProof w:val="0"/>
          <w:sz w:val="20"/>
          <w:szCs w:val="20"/>
          <w:lang w:val="en-IE"/>
        </w:rPr>
        <w:t>i</w:t>
      </w:r>
      <w:r w:rsidRPr="4C36C1AF" w:rsidR="4C36C1AF">
        <w:rPr>
          <w:rFonts w:ascii="Arial" w:hAnsi="Arial" w:eastAsia="Arial" w:cs="Arial"/>
          <w:b w:val="1"/>
          <w:bCs w:val="1"/>
          <w:noProof w:val="0"/>
          <w:sz w:val="20"/>
          <w:szCs w:val="20"/>
          <w:lang w:val="en-IE"/>
        </w:rPr>
        <w:t>) of ID CCM</w:t>
      </w:r>
      <w:r>
        <w:br/>
      </w:r>
      <w:r w:rsidRPr="4C36C1AF" w:rsidR="4C36C1AF">
        <w:rPr>
          <w:rFonts w:ascii="Arial" w:hAnsi="Arial" w:eastAsia="Arial" w:cs="Arial"/>
          <w:noProof w:val="0"/>
          <w:sz w:val="20"/>
          <w:szCs w:val="20"/>
          <w:lang w:val="en-IE"/>
        </w:rPr>
        <w:t xml:space="preserve">  </w:t>
      </w:r>
      <w:r>
        <w:br/>
      </w:r>
      <w:r w:rsidRPr="4C36C1AF" w:rsidR="4C36C1AF">
        <w:rPr>
          <w:rFonts w:ascii="Arial" w:hAnsi="Arial" w:eastAsia="Arial" w:cs="Arial"/>
          <w:noProof w:val="0"/>
          <w:sz w:val="20"/>
          <w:szCs w:val="20"/>
          <w:lang w:val="en-IE"/>
        </w:rPr>
        <w:t xml:space="preserve"> </w:t>
      </w:r>
      <w:r w:rsidRPr="4C36C1AF" w:rsidR="4C36C1AF">
        <w:rPr>
          <w:rFonts w:ascii="Arial" w:hAnsi="Arial" w:eastAsia="Arial" w:cs="Arial"/>
          <w:noProof w:val="0"/>
          <w:sz w:val="20"/>
          <w:szCs w:val="20"/>
          <w:lang w:val="en-GB"/>
        </w:rPr>
        <w:t>In Q2 of 2025, ELES applied reduction 3,53 % of MTU. 87% of these reductions were applied on CNECs on AT-SI and HU-SI borders (</w:t>
      </w:r>
      <w:r w:rsidRPr="4C36C1AF" w:rsidR="4C36C1AF">
        <w:rPr>
          <w:rFonts w:ascii="Arial" w:hAnsi="Arial" w:eastAsia="Arial" w:cs="Arial"/>
          <w:noProof w:val="0"/>
          <w:sz w:val="20"/>
          <w:szCs w:val="20"/>
          <w:lang w:val="en-GB"/>
        </w:rPr>
        <w:t>Kainachtall</w:t>
      </w:r>
      <w:r w:rsidRPr="4C36C1AF" w:rsidR="4C36C1AF">
        <w:rPr>
          <w:rFonts w:ascii="Arial" w:hAnsi="Arial" w:eastAsia="Arial" w:cs="Arial"/>
          <w:noProof w:val="0"/>
          <w:sz w:val="20"/>
          <w:szCs w:val="20"/>
          <w:lang w:val="en-GB"/>
        </w:rPr>
        <w:t xml:space="preserve"> – Maribor 1&amp;2, Maribor-</w:t>
      </w:r>
      <w:r w:rsidRPr="4C36C1AF" w:rsidR="4C36C1AF">
        <w:rPr>
          <w:rFonts w:ascii="Arial" w:hAnsi="Arial" w:eastAsia="Arial" w:cs="Arial"/>
          <w:noProof w:val="0"/>
          <w:sz w:val="20"/>
          <w:szCs w:val="20"/>
          <w:lang w:val="en-GB"/>
        </w:rPr>
        <w:t>Cirkovce</w:t>
      </w:r>
      <w:r w:rsidRPr="4C36C1AF" w:rsidR="4C36C1AF">
        <w:rPr>
          <w:rFonts w:ascii="Arial" w:hAnsi="Arial" w:eastAsia="Arial" w:cs="Arial"/>
          <w:noProof w:val="0"/>
          <w:sz w:val="20"/>
          <w:szCs w:val="20"/>
          <w:lang w:val="en-GB"/>
        </w:rPr>
        <w:t xml:space="preserve"> 1&amp;2 and </w:t>
      </w:r>
      <w:r w:rsidRPr="4C36C1AF" w:rsidR="4C36C1AF">
        <w:rPr>
          <w:rFonts w:ascii="Arial" w:hAnsi="Arial" w:eastAsia="Arial" w:cs="Arial"/>
          <w:noProof w:val="0"/>
          <w:sz w:val="20"/>
          <w:szCs w:val="20"/>
          <w:lang w:val="en-GB"/>
        </w:rPr>
        <w:t>Cirkovce-Heviz</w:t>
      </w:r>
      <w:r w:rsidRPr="4C36C1AF" w:rsidR="4C36C1AF">
        <w:rPr>
          <w:rFonts w:ascii="Arial" w:hAnsi="Arial" w:eastAsia="Arial" w:cs="Arial"/>
          <w:noProof w:val="0"/>
          <w:sz w:val="20"/>
          <w:szCs w:val="20"/>
          <w:lang w:val="en-GB"/>
        </w:rPr>
        <w:t>). The remaining 13% of applied reductions were applied on CNECs on the HR-SI border (</w:t>
      </w:r>
      <w:r w:rsidRPr="4C36C1AF" w:rsidR="4C36C1AF">
        <w:rPr>
          <w:rFonts w:ascii="Arial" w:hAnsi="Arial" w:eastAsia="Arial" w:cs="Arial"/>
          <w:noProof w:val="0"/>
          <w:sz w:val="20"/>
          <w:szCs w:val="20"/>
          <w:lang w:val="en-GB"/>
        </w:rPr>
        <w:t>Divaca-Pehlin</w:t>
      </w:r>
      <w:r w:rsidRPr="4C36C1AF" w:rsidR="4C36C1AF">
        <w:rPr>
          <w:rFonts w:ascii="Arial" w:hAnsi="Arial" w:eastAsia="Arial" w:cs="Arial"/>
          <w:noProof w:val="0"/>
          <w:sz w:val="20"/>
          <w:szCs w:val="20"/>
          <w:lang w:val="en-GB"/>
        </w:rPr>
        <w:t xml:space="preserve"> and Krsko-</w:t>
      </w:r>
      <w:r w:rsidRPr="4C36C1AF" w:rsidR="4C36C1AF">
        <w:rPr>
          <w:rFonts w:ascii="Arial" w:hAnsi="Arial" w:eastAsia="Arial" w:cs="Arial"/>
          <w:noProof w:val="0"/>
          <w:sz w:val="20"/>
          <w:szCs w:val="20"/>
          <w:lang w:val="en-GB"/>
        </w:rPr>
        <w:t>Tumbri</w:t>
      </w:r>
      <w:r w:rsidRPr="4C36C1AF" w:rsidR="4C36C1AF">
        <w:rPr>
          <w:rFonts w:ascii="Arial" w:hAnsi="Arial" w:eastAsia="Arial" w:cs="Arial"/>
          <w:noProof w:val="0"/>
          <w:sz w:val="20"/>
          <w:szCs w:val="20"/>
          <w:lang w:val="en-GB"/>
        </w:rPr>
        <w:t xml:space="preserve"> 1&amp;2). The main reason for the above reductions at ELES lies in the fact, that we are in the cross-road of two CCR, which both aim to maximise capacities in order to fulfil 70% criteria in DA. Often, maximisation of the capacities in Italy North CCR have negative effect on the RAM of Slovenian elements in CORE CCR. This is mostly due to the fact, that we have a PST on the Slovenian – Italian border, that is used to maximise Italy North NTC values. Maximising </w:t>
      </w:r>
      <w:r w:rsidRPr="4C36C1AF" w:rsidR="4C36C1AF">
        <w:rPr>
          <w:rFonts w:ascii="Arial" w:hAnsi="Arial" w:eastAsia="Arial" w:cs="Arial"/>
          <w:noProof w:val="0"/>
          <w:sz w:val="20"/>
          <w:szCs w:val="20"/>
          <w:lang w:val="en-GB"/>
        </w:rPr>
        <w:t>capacities</w:t>
      </w:r>
      <w:r w:rsidRPr="4C36C1AF" w:rsidR="4C36C1AF">
        <w:rPr>
          <w:rFonts w:ascii="Arial" w:hAnsi="Arial" w:eastAsia="Arial" w:cs="Arial"/>
          <w:noProof w:val="0"/>
          <w:sz w:val="20"/>
          <w:szCs w:val="20"/>
          <w:lang w:val="en-GB"/>
        </w:rPr>
        <w:t xml:space="preserve"> in DA often translates to low </w:t>
      </w:r>
      <w:r w:rsidRPr="4C36C1AF" w:rsidR="4C36C1AF">
        <w:rPr>
          <w:rFonts w:ascii="Arial" w:hAnsi="Arial" w:eastAsia="Arial" w:cs="Arial"/>
          <w:noProof w:val="0"/>
          <w:sz w:val="20"/>
          <w:szCs w:val="20"/>
          <w:lang w:val="en-GB"/>
        </w:rPr>
        <w:t>capacities</w:t>
      </w:r>
      <w:r w:rsidRPr="4C36C1AF" w:rsidR="4C36C1AF">
        <w:rPr>
          <w:rFonts w:ascii="Arial" w:hAnsi="Arial" w:eastAsia="Arial" w:cs="Arial"/>
          <w:noProof w:val="0"/>
          <w:sz w:val="20"/>
          <w:szCs w:val="20"/>
          <w:lang w:val="en-GB"/>
        </w:rPr>
        <w:t xml:space="preserve"> available for Intraday. </w:t>
      </w:r>
    </w:p>
    <w:p w:rsidR="4C36C1AF" w:rsidP="4C36C1AF" w:rsidRDefault="4C36C1AF" w14:paraId="1A2195BF" w14:textId="01F5911E">
      <w:pPr>
        <w:spacing w:before="0" w:beforeAutospacing="off" w:after="0" w:afterAutospacing="off" w:line="312" w:lineRule="auto"/>
        <w:jc w:val="left"/>
      </w:pPr>
      <w:r w:rsidRPr="4C36C1AF" w:rsidR="4C36C1AF">
        <w:rPr>
          <w:rFonts w:ascii="Arial" w:hAnsi="Arial" w:eastAsia="Arial" w:cs="Arial"/>
          <w:noProof w:val="0"/>
          <w:sz w:val="20"/>
          <w:szCs w:val="20"/>
          <w:lang w:val="en-IE"/>
        </w:rPr>
        <w:t xml:space="preserve"> </w:t>
      </w:r>
    </w:p>
    <w:p w:rsidR="4C36C1AF" w:rsidP="4C36C1AF" w:rsidRDefault="4C36C1AF" w14:paraId="081210B7" w14:textId="3B1EAD5D">
      <w:pPr>
        <w:spacing w:before="0" w:beforeAutospacing="off" w:after="0" w:afterAutospacing="off" w:line="312" w:lineRule="auto"/>
        <w:jc w:val="left"/>
      </w:pPr>
      <w:r w:rsidRPr="4C36C1AF" w:rsidR="4C36C1AF">
        <w:rPr>
          <w:rFonts w:ascii="Arial" w:hAnsi="Arial" w:eastAsia="Arial" w:cs="Arial"/>
          <w:noProof w:val="0"/>
          <w:sz w:val="20"/>
          <w:szCs w:val="20"/>
          <w:lang w:val="en-GB"/>
        </w:rPr>
        <w:t>Our plan to improve the situation consists of the following:</w:t>
      </w:r>
    </w:p>
    <w:p w:rsidR="4C36C1AF" w:rsidP="4C36C1AF" w:rsidRDefault="4C36C1AF" w14:paraId="2CFCA653" w14:textId="3C74DF31">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4C36C1AF" w:rsidR="4C36C1AF">
        <w:rPr>
          <w:rFonts w:ascii="Arial" w:hAnsi="Arial" w:eastAsia="Arial" w:cs="Arial"/>
          <w:noProof w:val="0"/>
          <w:sz w:val="20"/>
          <w:szCs w:val="20"/>
          <w:lang w:val="en-GB"/>
        </w:rPr>
        <w:t>Additional training of operators and improvement of the local validation tool in order to improve the process and improve stability and reliability of the tool</w:t>
      </w:r>
    </w:p>
    <w:p w:rsidR="4C36C1AF" w:rsidP="4C36C1AF" w:rsidRDefault="4C36C1AF" w14:paraId="267D8406" w14:textId="2E7F631C">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4C36C1AF" w:rsidR="4C36C1AF">
        <w:rPr>
          <w:rFonts w:ascii="Arial" w:hAnsi="Arial" w:eastAsia="Arial" w:cs="Arial"/>
          <w:noProof w:val="0"/>
          <w:sz w:val="20"/>
          <w:szCs w:val="20"/>
          <w:lang w:val="en-GB"/>
        </w:rPr>
        <w:t>Analysis will be performed on accuracy of validation tool (e.g. comparing the flows considered during the validation and realised flows). Based on the result of the analysis, the validation tool reliability margin will be adjusted in order to decrease the level of IVA application.</w:t>
      </w:r>
    </w:p>
    <w:p w:rsidR="4C36C1AF" w:rsidP="4C36C1AF" w:rsidRDefault="4C36C1AF" w14:paraId="7A2B4170" w14:textId="3CC84280">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4C36C1AF" w:rsidR="4C36C1AF">
        <w:rPr>
          <w:rFonts w:ascii="Arial" w:hAnsi="Arial" w:eastAsia="Arial" w:cs="Arial"/>
          <w:noProof w:val="0"/>
          <w:sz w:val="20"/>
          <w:szCs w:val="20"/>
          <w:lang w:val="en-IE"/>
        </w:rPr>
        <w:t xml:space="preserve">Network development and optimisation - </w:t>
      </w:r>
      <w:r w:rsidRPr="4C36C1AF" w:rsidR="4C36C1AF">
        <w:rPr>
          <w:rFonts w:ascii="Arial" w:hAnsi="Arial" w:eastAsia="Arial" w:cs="Arial"/>
          <w:noProof w:val="0"/>
          <w:sz w:val="20"/>
          <w:szCs w:val="20"/>
          <w:lang w:val="en-GB"/>
        </w:rPr>
        <w:t>For AT-SI border, we are in the process to obtain and install a static serous synchronous compensator (SSSC) in Podlog substation (Q4 2027 or early 2028) in order to be able to redistribute and relieve the flows on the elements Kainachtal – Maribor and Obersielach- Podlog. For the Divaca – Pehlin line, we are still investigation different possibilities to increase capacities (SSSC or high temperature lines).</w:t>
      </w:r>
    </w:p>
    <w:p w:rsidR="4C36C1AF" w:rsidP="4C36C1AF" w:rsidRDefault="4C36C1AF" w14:paraId="74EFFC4C" w14:textId="3DEC36C9">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4C36C1AF" w:rsidR="4C36C1AF">
        <w:rPr>
          <w:rFonts w:ascii="Arial" w:hAnsi="Arial" w:eastAsia="Arial" w:cs="Arial"/>
          <w:noProof w:val="0"/>
          <w:sz w:val="20"/>
          <w:szCs w:val="20"/>
          <w:lang w:val="en-GB"/>
        </w:rPr>
        <w:t>In Q4 2025 ELES plans to implement DTR on all SI-HR tie-lines, that will presumably increase its Fmax in most of MTUs (expected positive impact on Divača-Pehlin tie-line)</w:t>
      </w:r>
    </w:p>
    <w:p w:rsidR="4C36C1AF" w:rsidP="04A132EC" w:rsidRDefault="4C36C1AF" w14:paraId="006657AB" w14:textId="729AAE4C">
      <w:pPr>
        <w:pStyle w:val="Listaszerbekezds"/>
        <w:spacing w:before="0" w:beforeAutospacing="off" w:after="0" w:afterAutospacing="off" w:line="312" w:lineRule="auto"/>
        <w:ind w:left="720" w:right="0" w:hanging="360"/>
        <w:jc w:val="left"/>
        <w:rPr>
          <w:rFonts w:ascii="Arial" w:hAnsi="Arial" w:eastAsia="Arial" w:cs="Arial"/>
          <w:noProof w:val="0"/>
          <w:sz w:val="20"/>
          <w:szCs w:val="20"/>
          <w:lang w:val="en-GB"/>
        </w:rPr>
      </w:pPr>
      <w:r w:rsidRPr="04A132EC" w:rsidR="04A132EC">
        <w:rPr>
          <w:rFonts w:ascii="Arial" w:hAnsi="Arial" w:eastAsia="Arial" w:cs="Arial"/>
          <w:noProof w:val="0"/>
          <w:sz w:val="20"/>
          <w:szCs w:val="20"/>
          <w:lang w:val="en-GB"/>
        </w:rPr>
        <w:t>Improve the outage planning coordination.</w:t>
      </w:r>
    </w:p>
    <w:p w:rsidRPr="006E1318" w:rsidR="00E313E3" w:rsidP="006E1318" w:rsidRDefault="799E5D96" w14:paraId="5E6018AB" w14:textId="337EC4FC">
      <w:pPr>
        <w:pStyle w:val="Cmsor1"/>
        <w:rPr/>
      </w:pPr>
      <w:bookmarkStart w:name="_Toc522439209" w:id="966375176"/>
      <w:r w:rsidR="04A132EC">
        <w:rPr/>
        <w:t>ELIA</w:t>
      </w:r>
      <w:bookmarkEnd w:id="966375176"/>
    </w:p>
    <w:p w:rsidRPr="006E1318" w:rsidR="03D1E99D" w:rsidP="006E1318" w:rsidRDefault="3442D4AC" w14:paraId="0147B8BA" w14:textId="24134136">
      <w:pPr>
        <w:pStyle w:val="Cmsor1"/>
        <w:rPr/>
      </w:pPr>
      <w:bookmarkStart w:name="_Toc109544001" w:id="1477006286"/>
      <w:r w:rsidR="04A132EC">
        <w:rPr/>
        <w:t>HOPS</w:t>
      </w:r>
      <w:bookmarkEnd w:id="1477006286"/>
    </w:p>
    <w:p w:rsidR="3442D4AC" w:rsidP="00A5A4EE" w:rsidRDefault="3442D4AC" w14:paraId="720AACB7" w14:textId="56B0F3E8">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General measures to avoid cross-zonal capacity reductions in the future, as per Articles 18(10)(h)(</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i</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and 20(11)(b) of the ID CCM</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35A98664" w14:textId="0492E726">
      <w:pPr>
        <w:rPr>
          <w:rFonts w:ascii="Arial" w:hAnsi="Arial" w:eastAsia="Arial" w:cs="Arial" w:asciiTheme="minorAscii" w:hAnsiTheme="minorAscii" w:eastAsiaTheme="minorAscii" w:cstheme="minorAscii"/>
          <w:sz w:val="20"/>
          <w:szCs w:val="20"/>
        </w:rPr>
      </w:pPr>
      <w:r w:rsidRPr="00A5A4EE" w:rsidR="00A5A4EE">
        <w:rPr>
          <w:rFonts w:ascii="Arial" w:hAnsi="Arial" w:eastAsia="Arial" w:cs="Arial" w:asciiTheme="minorAscii" w:hAnsiTheme="minorAscii" w:eastAsiaTheme="minorAscii" w:cstheme="minorAscii"/>
          <w:sz w:val="20"/>
          <w:szCs w:val="20"/>
        </w:rPr>
        <w:t xml:space="preserve"> </w:t>
      </w:r>
    </w:p>
    <w:p w:rsidR="3442D4AC" w:rsidP="00A5A4EE" w:rsidRDefault="3442D4AC" w14:paraId="3E218A4F" w14:textId="22B052C6">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General measures include, but are not limited to:</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026B0653" w14:textId="3487D9E3">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Network development and optimization</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11D1F07D" w14:textId="0A3555FC">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The goal is to increase the transmission capacity and reduce grid congestion. The measures to achieve these goals include strengthening and optimizing the existing network and the development of new infrastructure.</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7DDC82BE" w14:textId="7F0DA382">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Improvements concerning congestion management</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2D18FA86" w14:textId="384D45EC">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Core CCR coordinated improvements with coordinated actions to increase cross-zonal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capacities</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(for example improvements of the outage planning coordination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in order to</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increase flexibility of the grid). Introduction of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additional</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effective remedial actions should help to relieve the congestion and therefore allows to reduce the number of IVA application. Also, inclusion of third countries could open further opportunities for HOPS (with planning process and implementation of remedial measures). Unscheduled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allocated</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flows coming from commercial exchanges outside the Core CCR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Fuaf</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has a strong impact on HOPS grid.</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18146BD9" w14:textId="71123D1B">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1BA27FEB" w14:textId="20EAC808">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Detailed report and action plan describing how such deviations are expected to be alleviated and solved in the future</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4B230455" w14:textId="469C515D">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23C60592" w14:textId="7B401827">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In the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analysed</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quarter (Q2 2025), HOPS applied reduction to around 12,59% MTUs. For most MTUs, the reductions are applied to:</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5521F17E" w14:paraId="3FAF456F" w14:textId="7F433AD4">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5521F17E" w:rsidP="00A5A4EE" w:rsidRDefault="5521F17E" w14:paraId="49098F53" w14:textId="7B84B28B">
      <w:pPr>
        <w:rPr>
          <w:rFonts w:ascii="Arial" w:hAnsi="Arial" w:eastAsia="Arial" w:cs="Arial" w:asciiTheme="minorAscii" w:hAnsiTheme="minorAscii" w:eastAsiaTheme="minorAscii" w:cstheme="minorAscii"/>
          <w:color w:val="000000" w:themeColor="text1"/>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TL  220kV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Pehlin</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Divaca</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(11,99% MTUs, or around 95,27% of times of all HOPS applied reductions)</w:t>
      </w:r>
    </w:p>
    <w:p w:rsidR="5521F17E" w:rsidP="00A5A4EE" w:rsidRDefault="5521F17E" w14:paraId="074D9C2E" w14:textId="255307A2">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TL 400 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Ernestinovo</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Pecs 1 (0,64% MTUs, or around 5,09% of times of all HOPS applied reductions) </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5521F17E" w:rsidP="00A5A4EE" w:rsidRDefault="5521F17E" w14:paraId="39FB4D18" w14:textId="47570FDC">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TL 220kV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Brinje</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Padene</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(0,27% MTUs, or around 2,18% of times of all HOPS applied reductions) </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5521F17E" w:rsidP="00A5A4EE" w:rsidRDefault="5521F17E" w14:paraId="01B83EE5" w14:textId="73D017E3">
      <w:pPr>
        <w:rPr>
          <w:rFonts w:ascii="Arial" w:hAnsi="Arial" w:eastAsia="Arial" w:cs="Arial" w:asciiTheme="minorAscii" w:hAnsiTheme="minorAscii" w:eastAsiaTheme="minorAscii" w:cstheme="minorAscii"/>
          <w:color w:val="000000" w:themeColor="text1"/>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TL  400kV Melina-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Divaca</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(0,18% MTUs, or around 1,45% of times of all HOPS applied reductions)</w:t>
      </w:r>
    </w:p>
    <w:p w:rsidR="5521F17E" w:rsidP="00A5A4EE" w:rsidRDefault="5521F17E" w14:paraId="2F091D44" w14:textId="54CE81AC">
      <w:pPr>
        <w:rPr>
          <w:rFonts w:ascii="Arial" w:hAnsi="Arial" w:eastAsia="Arial" w:cs="Arial" w:asciiTheme="minorAscii" w:hAnsiTheme="minorAscii" w:eastAsiaTheme="minorAscii" w:cstheme="minorAscii"/>
          <w:color w:val="000000" w:themeColor="text1"/>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TL  400kV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Tumbri</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Krsko</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2 (0,14% MTUs, or around 1,09% of times of all HOPS applied reductions)</w:t>
      </w:r>
    </w:p>
    <w:p w:rsidR="5521F17E" w:rsidP="00A5A4EE" w:rsidRDefault="5521F17E" w14:paraId="58AF7EA5" w14:textId="617F7559">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TL 400 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Ernestinovo</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Pecs 2 (0,09% MTUs, or around 0,73% of times of all HOPS applied reductions) </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5521F17E" w14:paraId="302C0EF3" w14:textId="36E9088D">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TL 400 kV </w:t>
      </w:r>
      <w:r w:rsidRPr="00A5A4EE" w:rsidR="00A5A4EE">
        <w:rPr>
          <w:rFonts w:ascii="Arial" w:hAnsi="Arial" w:eastAsia="Arial" w:cs="Arial" w:asciiTheme="minorAscii" w:hAnsiTheme="minorAscii" w:eastAsiaTheme="minorAscii" w:cstheme="minorAscii"/>
          <w:sz w:val="20"/>
          <w:szCs w:val="20"/>
          <w:lang w:val="en-US"/>
        </w:rPr>
        <w:t>Ernestinovo</w:t>
      </w:r>
      <w:r w:rsidRPr="00A5A4EE" w:rsidR="00A5A4EE">
        <w:rPr>
          <w:rFonts w:ascii="Arial" w:hAnsi="Arial" w:eastAsia="Arial" w:cs="Arial" w:asciiTheme="minorAscii" w:hAnsiTheme="minorAscii" w:eastAsiaTheme="minorAscii" w:cstheme="minorAscii"/>
          <w:sz w:val="20"/>
          <w:szCs w:val="20"/>
          <w:lang w:val="en-US"/>
        </w:rPr>
        <w:t xml:space="preserve"> - Mitrovica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(0,09% MTUs, or around 0,73% of times of all HOPS applied reductions) </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5521F17E" w14:paraId="22552715" w14:textId="4892C1AB">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TL  400kV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Tumbri</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Krsko</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1 (0,09% MTUs, or around 0,73% of times of all HOPS applied reductions)</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5521F17E" w:rsidP="00A5A4EE" w:rsidRDefault="5521F17E" w14:paraId="7A061CE5" w14:textId="0E4CBE83">
      <w:pPr>
        <w:rPr>
          <w:rFonts w:ascii="Arial" w:hAnsi="Arial" w:eastAsia="Arial" w:cs="Arial" w:asciiTheme="minorAscii" w:hAnsiTheme="minorAscii" w:eastAsiaTheme="minorAscii" w:cstheme="minorAscii"/>
          <w:color w:val="000000" w:themeColor="text1"/>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TL 220kV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Zakucac</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Mostar (0,05 % MTUs, or around 0,36% of times of all HOPS applied reductions)</w:t>
      </w:r>
    </w:p>
    <w:p w:rsidR="3442D4AC" w:rsidP="00A5A4EE" w:rsidRDefault="3442D4AC" w14:paraId="21EF18CF" w14:textId="49B7A921">
      <w:pPr>
        <w:rPr>
          <w:rFonts w:ascii="Arial" w:hAnsi="Arial" w:eastAsia="Arial" w:cs="Arial" w:asciiTheme="minorAscii" w:hAnsiTheme="minorAscii" w:eastAsiaTheme="minorAscii" w:cstheme="minorAscii"/>
          <w:color w:val="000000" w:themeColor="text1" w:themeTint="FF" w:themeShade="FF"/>
          <w:sz w:val="20"/>
          <w:szCs w:val="20"/>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p>
    <w:p w:rsidR="3442D4AC" w:rsidP="00A5A4EE" w:rsidRDefault="3442D4AC" w14:paraId="3F0D6821" w14:textId="552159B2">
      <w:pPr>
        <w:rPr>
          <w:rFonts w:ascii="Arial" w:hAnsi="Arial" w:eastAsia="Arial" w:cs="Arial" w:asciiTheme="minorAscii" w:hAnsiTheme="minorAscii" w:eastAsiaTheme="minorAscii" w:cstheme="minorAscii"/>
          <w:sz w:val="20"/>
          <w:szCs w:val="20"/>
          <w:lang w:val="en-US"/>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Applied reductions on network element are mostly low (less than 2,62% of Fmax), while for a few MTUs during April (BD20250428) higher values are applied on TL 400 kV </w:t>
      </w:r>
      <w:r w:rsidRPr="00A5A4EE" w:rsidR="00A5A4EE">
        <w:rPr>
          <w:rFonts w:ascii="Arial" w:hAnsi="Arial" w:eastAsia="Arial" w:cs="Arial" w:asciiTheme="minorAscii" w:hAnsiTheme="minorAscii" w:eastAsiaTheme="minorAscii" w:cstheme="minorAscii"/>
          <w:sz w:val="20"/>
          <w:szCs w:val="20"/>
        </w:rPr>
        <w:t>Ernestinovo</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Pecs 1 and during May (BD20250510) on TL  220 kV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Pehlin</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Divaca</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due to unsolvable overloads in the relevant grid area caused by unavailability of grid elements in the surrounding area, additionally under the influence of high exchanges between Core and non-Core countries (impact of uncoordinated flows coming from third countries, mainly from the direction of RS and BA). It is important to emphasize that energy needs increased during Q2 2025 in SEE with significant flows in the network towards SEE, which is why some reductions were applied during Q2 2025 to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maintain</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a secured network. Such reductions are planned to be solved by developing and </w:t>
      </w:r>
      <w:r w:rsidRPr="00A5A4EE" w:rsidR="00A5A4EE">
        <w:rPr>
          <w:rFonts w:ascii="Arial" w:hAnsi="Arial" w:eastAsia="Arial" w:cs="Arial" w:asciiTheme="minorAscii" w:hAnsiTheme="minorAscii" w:eastAsiaTheme="minorAscii" w:cstheme="minorAscii"/>
          <w:sz w:val="20"/>
          <w:szCs w:val="20"/>
        </w:rPr>
        <w:t>optimising</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the transmission network.</w:t>
      </w:r>
      <w:r w:rsidRPr="00A5A4EE" w:rsidR="00A5A4EE">
        <w:rPr>
          <w:rFonts w:ascii="Arial" w:hAnsi="Arial" w:eastAsia="Arial" w:cs="Arial" w:asciiTheme="minorAscii" w:hAnsiTheme="minorAscii" w:eastAsiaTheme="minorAscii" w:cstheme="minorAscii"/>
          <w:sz w:val="20"/>
          <w:szCs w:val="20"/>
          <w:lang w:val="en-US"/>
        </w:rPr>
        <w:t xml:space="preserve"> </w:t>
      </w:r>
    </w:p>
    <w:p w:rsidR="5521F17E" w:rsidP="00A5A4EE" w:rsidRDefault="5521F17E" w14:paraId="785F4A14" w14:textId="457FC3B0">
      <w:pPr>
        <w:rPr>
          <w:rFonts w:ascii="Arial" w:hAnsi="Arial" w:eastAsia="Arial" w:cs="Arial" w:asciiTheme="minorAscii" w:hAnsiTheme="minorAscii" w:eastAsiaTheme="minorAscii" w:cstheme="minorAscii"/>
          <w:sz w:val="20"/>
          <w:szCs w:val="20"/>
          <w:lang w:val="en-US"/>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w:t>
      </w:r>
      <w:r w:rsidRPr="00A5A4EE" w:rsidR="00A5A4EE">
        <w:rPr>
          <w:rFonts w:ascii="Arial" w:hAnsi="Arial" w:eastAsia="Arial" w:cs="Arial" w:asciiTheme="minorAscii" w:hAnsiTheme="minorAscii" w:eastAsiaTheme="minorAscii" w:cstheme="minorAscii"/>
          <w:sz w:val="20"/>
          <w:szCs w:val="20"/>
          <w:lang w:val="en-US"/>
        </w:rPr>
        <w:t xml:space="preserve"> </w:t>
      </w:r>
    </w:p>
    <w:p w:rsidR="3442D4AC" w:rsidP="00A5A4EE" w:rsidRDefault="3442D4AC" w14:paraId="63D17B89" w14:textId="2FB0A5B4">
      <w:pPr>
        <w:rPr>
          <w:rFonts w:ascii="Arial" w:hAnsi="Arial" w:eastAsia="Arial" w:cs="Arial" w:asciiTheme="minorAscii" w:hAnsiTheme="minorAscii" w:eastAsiaTheme="minorAscii" w:cstheme="minorAscii"/>
          <w:color w:val="000000" w:themeColor="text1" w:themeTint="FF" w:themeShade="FF"/>
          <w:sz w:val="20"/>
          <w:szCs w:val="20"/>
          <w:lang w:val="en-US"/>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In Q2 of 2025, HOPS installed HTLS conductors on TL 220 kV </w:t>
      </w:r>
      <w:r w:rsidRPr="00A5A4EE" w:rsidR="00A5A4EE">
        <w:rPr>
          <w:rFonts w:ascii="Arial" w:hAnsi="Arial" w:eastAsia="Arial" w:cs="Arial" w:asciiTheme="minorAscii" w:hAnsiTheme="minorAscii" w:eastAsiaTheme="minorAscii" w:cstheme="minorAscii"/>
          <w:sz w:val="20"/>
          <w:szCs w:val="20"/>
        </w:rPr>
        <w:t>Brinje</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VE </w:t>
      </w:r>
      <w:r w:rsidRPr="00A5A4EE" w:rsidR="00A5A4EE">
        <w:rPr>
          <w:rFonts w:ascii="Arial" w:hAnsi="Arial" w:eastAsia="Arial" w:cs="Arial" w:asciiTheme="minorAscii" w:hAnsiTheme="minorAscii" w:eastAsiaTheme="minorAscii" w:cstheme="minorAscii"/>
          <w:sz w:val="20"/>
          <w:szCs w:val="20"/>
        </w:rPr>
        <w:t>Padene</w:t>
      </w:r>
      <w:r w:rsidRPr="00A5A4EE" w:rsidR="00A5A4EE">
        <w:rPr>
          <w:rFonts w:ascii="Arial" w:hAnsi="Arial" w:eastAsia="Arial" w:cs="Arial" w:asciiTheme="minorAscii" w:hAnsiTheme="minorAscii" w:eastAsiaTheme="minorAscii" w:cstheme="minorAscii"/>
          <w:color w:val="000000" w:themeColor="text1" w:themeTint="FF" w:themeShade="FF"/>
          <w:sz w:val="20"/>
          <w:szCs w:val="20"/>
        </w:rPr>
        <w:t xml:space="preserve">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that increases its maximum admissible power flow and improves available capacities. </w:t>
      </w:r>
    </w:p>
    <w:p w:rsidR="3442D4AC" w:rsidP="00A5A4EE" w:rsidRDefault="3442D4AC" w14:paraId="48FC1A11" w14:textId="144B995A">
      <w:pPr>
        <w:rPr>
          <w:rFonts w:ascii="Arial" w:hAnsi="Arial" w:eastAsia="Arial" w:cs="Arial" w:asciiTheme="minorAscii" w:hAnsiTheme="minorAscii" w:eastAsiaTheme="minorAscii" w:cstheme="minorAscii"/>
          <w:sz w:val="20"/>
          <w:szCs w:val="20"/>
          <w:lang w:val="en-US"/>
        </w:r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Further on, there is ongoing investigation of various possibilities to increase capacities for the TL 220 kV </w:t>
      </w:r>
      <w:r w:rsidRPr="00A5A4EE" w:rsidR="00A5A4EE">
        <w:rPr>
          <w:rFonts w:ascii="Arial" w:hAnsi="Arial" w:eastAsia="Arial" w:cs="Arial" w:asciiTheme="minorAscii" w:hAnsiTheme="minorAscii" w:eastAsiaTheme="minorAscii" w:cstheme="minorAscii"/>
          <w:sz w:val="20"/>
          <w:szCs w:val="20"/>
        </w:rPr>
        <w:t>Pehlin</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 </w:t>
      </w:r>
      <w:r w:rsidRPr="00A5A4EE" w:rsidR="00A5A4EE">
        <w:rPr>
          <w:rFonts w:ascii="Arial" w:hAnsi="Arial" w:eastAsia="Arial" w:cs="Arial" w:asciiTheme="minorAscii" w:hAnsiTheme="minorAscii" w:eastAsiaTheme="minorAscii" w:cstheme="minorAscii"/>
          <w:sz w:val="20"/>
          <w:szCs w:val="20"/>
        </w:rPr>
        <w:t>Divača</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w:t>
      </w:r>
      <w:r w:rsidRPr="00A5A4EE" w:rsidR="00A5A4EE">
        <w:rPr>
          <w:rFonts w:ascii="Arial" w:hAnsi="Arial" w:eastAsia="Arial" w:cs="Arial" w:asciiTheme="minorAscii" w:hAnsiTheme="minorAscii" w:eastAsiaTheme="minorAscii" w:cstheme="minorAscii"/>
          <w:sz w:val="20"/>
          <w:szCs w:val="20"/>
          <w:lang w:val="en-US"/>
        </w:rPr>
        <w:t xml:space="preserve"> </w:t>
      </w:r>
    </w:p>
    <w:p w:rsidR="03D1E99D" w:rsidP="00A5A4EE" w:rsidRDefault="799E5D96" w14:paraId="10797B3A" w14:textId="226291AF">
      <w:pPr>
        <w:numPr>
          <w:ilvl w:val="0"/>
          <w:numId w:val="0"/>
        </w:numPr>
      </w:pP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Improvements are also expected with upcoming important processes such as coordinated validation </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capacities</w:t>
      </w:r>
      <w:r w:rsidRPr="00A5A4EE" w:rsidR="00A5A4EE">
        <w:rPr>
          <w:rFonts w:ascii="Arial" w:hAnsi="Arial" w:eastAsia="Arial" w:cs="Arial" w:asciiTheme="minorAscii" w:hAnsiTheme="minorAscii" w:eastAsiaTheme="minorAscii" w:cstheme="minorAscii"/>
          <w:color w:val="000000" w:themeColor="text1" w:themeTint="FF" w:themeShade="FF"/>
          <w:sz w:val="20"/>
          <w:szCs w:val="20"/>
          <w:lang w:val="en-US"/>
        </w:rPr>
        <w:t xml:space="preserve"> and Regional Operational Security Coordination</w:t>
      </w:r>
      <w:r w:rsidRPr="00A5A4EE" w:rsidR="00A5A4EE">
        <w:rPr>
          <w:rFonts w:ascii="Times New Roman" w:hAnsi="Times New Roman" w:eastAsia="Times New Roman" w:cs="Times New Roman"/>
          <w:color w:val="000000" w:themeColor="text1" w:themeTint="FF" w:themeShade="FF"/>
          <w:sz w:val="24"/>
          <w:szCs w:val="24"/>
          <w:lang w:val="en-US"/>
        </w:rPr>
        <w:t>.</w:t>
      </w:r>
    </w:p>
    <w:p w:rsidR="00E054CC" w:rsidP="00E054CC" w:rsidRDefault="00E054CC" w14:paraId="41E4502D" w14:textId="77777777">
      <w:pPr>
        <w:pStyle w:val="Cmsor1"/>
        <w:rPr/>
      </w:pPr>
      <w:bookmarkStart w:name="_Toc1967224407" w:id="8569948"/>
      <w:r w:rsidR="04A132EC">
        <w:rPr/>
        <w:t>MAVIR</w:t>
      </w:r>
      <w:bookmarkEnd w:id="8569948"/>
    </w:p>
    <w:p w:rsidR="00E054CC" w:rsidP="00E054CC" w:rsidRDefault="00E054CC" w14:paraId="6EE4A8EF" w14:textId="753E0638">
      <w:pPr>
        <w:pStyle w:val="Listaszerbekezds"/>
        <w:numPr>
          <w:ilvl w:val="0"/>
          <w:numId w:val="17"/>
        </w:numPr>
        <w:tabs>
          <w:tab w:val="left" w:pos="720"/>
        </w:tabs>
        <w:rPr>
          <w:b/>
          <w:lang w:eastAsia="nl-NL"/>
        </w:rPr>
      </w:pPr>
      <w:r>
        <w:rPr>
          <w:b/>
          <w:lang w:eastAsia="nl-NL"/>
        </w:rPr>
        <w:t>Explanation for the reductions applied by MAVIR in Q</w:t>
      </w:r>
      <w:r>
        <w:rPr>
          <w:b/>
          <w:lang w:eastAsia="nl-NL"/>
        </w:rPr>
        <w:t>2</w:t>
      </w:r>
      <w:r>
        <w:rPr>
          <w:b/>
          <w:lang w:eastAsia="nl-NL"/>
        </w:rPr>
        <w:t>, 2025</w:t>
      </w:r>
    </w:p>
    <w:p w:rsidRPr="00FF68A6" w:rsidR="00E054CC" w:rsidP="00E054CC" w:rsidRDefault="00E054CC" w14:paraId="5531C9D1" w14:textId="77777777">
      <w:pPr>
        <w:pStyle w:val="Listaszerbekezds"/>
        <w:numPr>
          <w:ilvl w:val="0"/>
          <w:numId w:val="0"/>
        </w:numPr>
        <w:tabs>
          <w:tab w:val="left" w:pos="720"/>
        </w:tabs>
        <w:ind w:left="720"/>
        <w:rPr>
          <w:b/>
          <w:lang w:eastAsia="nl-NL"/>
        </w:rPr>
      </w:pPr>
    </w:p>
    <w:p w:rsidR="00E054CC" w:rsidP="00E054CC" w:rsidRDefault="00E054CC" w14:paraId="72182D77" w14:textId="77777777">
      <w:pPr>
        <w:rPr>
          <w:lang w:eastAsia="nl-NL"/>
        </w:rPr>
      </w:pPr>
      <w:r>
        <w:rPr>
          <w:lang w:eastAsia="nl-NL"/>
        </w:rPr>
        <w:t xml:space="preserve">MAVIR performs the individual validation with the basic principle of determining CBCOs that can be potentially overloaded by a realistic market outcome. In case a CBCO which cannot be solved by available remedial actions from contingency analysis but selected to be potentially overloaded is identified, IVA with the objective of minimizing the loss of the flow-based domain volume is optimized and calculated </w:t>
      </w:r>
      <w:proofErr w:type="gramStart"/>
      <w:r>
        <w:rPr>
          <w:lang w:eastAsia="nl-NL"/>
        </w:rPr>
        <w:t>in order to</w:t>
      </w:r>
      <w:proofErr w:type="gramEnd"/>
      <w:r>
        <w:rPr>
          <w:lang w:eastAsia="nl-NL"/>
        </w:rPr>
        <w:t xml:space="preserve"> relieve the potential overload. In Q2, there were 7 business days with IVA applied to CBCOs by MAVIR due to two different factors. One is the pattern of significant power flows from import direction over the northern HU borders due to strong import energy need in combination with planned special grid outage situation most of the time for which there is no other </w:t>
      </w:r>
      <w:proofErr w:type="gramStart"/>
      <w:r>
        <w:rPr>
          <w:lang w:eastAsia="nl-NL"/>
        </w:rPr>
        <w:t>solution</w:t>
      </w:r>
      <w:proofErr w:type="gramEnd"/>
      <w:r>
        <w:rPr>
          <w:lang w:eastAsia="nl-NL"/>
        </w:rPr>
        <w:t xml:space="preserve"> but IVA application and the other one is the application of IVA fallback due technical failure. There were 28 distinct hours (</w:t>
      </w:r>
      <w:r>
        <w:rPr>
          <w:rFonts w:eastAsia="Arial"/>
        </w:rPr>
        <w:t>or 1,28% of the 2184 MTUs</w:t>
      </w:r>
      <w:r>
        <w:rPr>
          <w:lang w:eastAsia="nl-NL"/>
        </w:rPr>
        <w:t xml:space="preserve">) with IVA application. There </w:t>
      </w:r>
      <w:proofErr w:type="gramStart"/>
      <w:r>
        <w:rPr>
          <w:lang w:eastAsia="nl-NL"/>
        </w:rPr>
        <w:t>were</w:t>
      </w:r>
      <w:proofErr w:type="gramEnd"/>
      <w:r>
        <w:rPr>
          <w:lang w:eastAsia="nl-NL"/>
        </w:rPr>
        <w:t xml:space="preserve"> no operational fallback IVA application which contributed to the amount of IVA in Q2. In total</w:t>
      </w:r>
      <w:r w:rsidRPr="00E054CC">
        <w:rPr>
          <w:lang w:eastAsia="nl-NL"/>
        </w:rPr>
        <w:t xml:space="preserve">, </w:t>
      </w:r>
      <w:r>
        <w:rPr>
          <w:lang w:eastAsia="nl-NL"/>
        </w:rPr>
        <w:t>28 distinct hours, the CBCOs with IVAs were a domain limiting constraint.</w:t>
      </w:r>
    </w:p>
    <w:p w:rsidR="00E054CC" w:rsidP="00E054CC" w:rsidRDefault="00E054CC" w14:paraId="08F557BB" w14:textId="77777777">
      <w:pPr>
        <w:rPr>
          <w:lang w:eastAsia="nl-NL"/>
        </w:rPr>
      </w:pPr>
    </w:p>
    <w:p w:rsidR="00E054CC" w:rsidP="00E054CC" w:rsidRDefault="00E054CC" w14:paraId="4733463F" w14:textId="6666C873">
      <w:pPr>
        <w:spacing w:after="200"/>
        <w:rPr>
          <w:rFonts w:eastAsia="Arial" w:cs="Arial"/>
        </w:rPr>
      </w:pPr>
      <w:r>
        <w:rPr>
          <w:rFonts w:eastAsia="Arial" w:cs="Arial"/>
        </w:rPr>
        <w:t xml:space="preserve">MAVIR aims to apply the following measures </w:t>
      </w:r>
      <w:proofErr w:type="gramStart"/>
      <w:r>
        <w:rPr>
          <w:rFonts w:eastAsia="Arial" w:cs="Arial"/>
        </w:rPr>
        <w:t>in order to</w:t>
      </w:r>
      <w:proofErr w:type="gramEnd"/>
      <w:r>
        <w:rPr>
          <w:rFonts w:eastAsia="Arial" w:cs="Arial"/>
        </w:rPr>
        <w:t xml:space="preserve"> minimize the application of IVAs and, as required by article </w:t>
      </w:r>
      <w:proofErr w:type="spellStart"/>
      <w:r w:rsidR="00027FEC">
        <w:rPr>
          <w:rFonts w:eastAsia="Arial" w:cs="Arial"/>
        </w:rPr>
        <w:t>Article</w:t>
      </w:r>
      <w:proofErr w:type="spellEnd"/>
      <w:r w:rsidR="00027FEC">
        <w:rPr>
          <w:rFonts w:eastAsia="Arial" w:cs="Arial"/>
        </w:rPr>
        <w:t xml:space="preserve"> 18 (11)(b) and 18 (12) ID CCM</w:t>
      </w:r>
      <w:r>
        <w:rPr>
          <w:rFonts w:eastAsia="Arial" w:cs="Arial"/>
        </w:rPr>
        <w:t>, avoid cross-zonal capacity reductions in the future:</w:t>
      </w:r>
    </w:p>
    <w:p w:rsidR="00E054CC" w:rsidP="00E054CC" w:rsidRDefault="00E054CC" w14:paraId="151ACA43" w14:textId="77777777">
      <w:pPr>
        <w:numPr>
          <w:ilvl w:val="0"/>
          <w:numId w:val="13"/>
        </w:numPr>
        <w:rPr>
          <w:rFonts w:cs="Arial"/>
          <w:bCs/>
          <w:szCs w:val="22"/>
          <w:lang w:val="en-GB"/>
        </w:rPr>
      </w:pPr>
      <w:r>
        <w:rPr>
          <w:rFonts w:cs="Arial"/>
          <w:bCs/>
          <w:szCs w:val="22"/>
          <w:lang w:val="en-GB"/>
        </w:rPr>
        <w:t xml:space="preserve">Consideration of effective topological remedial actions </w:t>
      </w:r>
    </w:p>
    <w:p w:rsidR="00E054CC" w:rsidP="00E054CC" w:rsidRDefault="00E054CC" w14:paraId="3FCE2AFB" w14:textId="77777777">
      <w:pPr>
        <w:ind w:left="720"/>
        <w:rPr>
          <w:rFonts w:cs="Arial"/>
          <w:bCs/>
          <w:szCs w:val="22"/>
          <w:lang w:val="en-GB"/>
        </w:rPr>
      </w:pPr>
    </w:p>
    <w:p w:rsidR="00E054CC" w:rsidP="00E054CC" w:rsidRDefault="00E054CC" w14:paraId="6353B354" w14:textId="77777777">
      <w:pPr>
        <w:rPr>
          <w:rFonts w:eastAsia="Arial"/>
        </w:rPr>
      </w:pPr>
      <w:r>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Pr>
          <w:rFonts w:cs="Arial"/>
          <w:bCs/>
          <w:szCs w:val="22"/>
          <w:lang w:val="en-GB" w:eastAsia="nl-NL"/>
        </w:rPr>
        <w:t xml:space="preserve">Note that the operational experience also shows better judgement of IVA applications as to </w:t>
      </w:r>
      <w:r>
        <w:rPr>
          <w:rFonts w:eastAsia="Arial" w:cs="Arial"/>
          <w:bCs/>
        </w:rPr>
        <w:t>the trade-off between operational security and offered capacities.</w:t>
      </w:r>
    </w:p>
    <w:p w:rsidR="00E054CC" w:rsidP="00E054CC" w:rsidRDefault="00E054CC" w14:paraId="1D1376AF" w14:textId="77777777">
      <w:pPr>
        <w:rPr>
          <w:lang w:eastAsia="nl-NL"/>
        </w:rPr>
      </w:pPr>
    </w:p>
    <w:p w:rsidR="00E054CC" w:rsidP="00E054CC" w:rsidRDefault="00E054CC" w14:paraId="0EBCD0E6" w14:textId="77777777">
      <w:pPr>
        <w:spacing w:after="200"/>
        <w:rPr>
          <w:rFonts w:eastAsia="Arial" w:cs="Arial"/>
        </w:rPr>
      </w:pPr>
      <w:r>
        <w:rPr>
          <w:rFonts w:eastAsia="Arial" w:cs="Arial"/>
        </w:rPr>
        <w:t xml:space="preserve">MAVIR aims to apply the following measures </w:t>
      </w:r>
      <w:proofErr w:type="gramStart"/>
      <w:r>
        <w:rPr>
          <w:rFonts w:eastAsia="Arial" w:cs="Arial"/>
        </w:rPr>
        <w:t>in order to</w:t>
      </w:r>
      <w:proofErr w:type="gramEnd"/>
      <w:r>
        <w:rPr>
          <w:rFonts w:eastAsia="Arial" w:cs="Arial"/>
        </w:rPr>
        <w:t xml:space="preserve"> minimize the application of IVAs and, as required by Article 18 (11)(b) and 18 (12) ID CCM, avoid cross-zonal capacity reductions in the future:</w:t>
      </w:r>
    </w:p>
    <w:p w:rsidR="00E054CC" w:rsidP="00E054CC" w:rsidRDefault="00E054CC" w14:paraId="7CA6B94E" w14:textId="77777777">
      <w:pPr>
        <w:numPr>
          <w:ilvl w:val="0"/>
          <w:numId w:val="13"/>
        </w:numPr>
        <w:rPr>
          <w:rFonts w:cs="Arial"/>
          <w:bCs/>
          <w:szCs w:val="22"/>
          <w:lang w:val="en-GB"/>
        </w:rPr>
      </w:pPr>
      <w:r>
        <w:rPr>
          <w:rFonts w:cs="Arial"/>
          <w:bCs/>
          <w:szCs w:val="22"/>
          <w:lang w:val="en-GB"/>
        </w:rPr>
        <w:t xml:space="preserve">Consideration of effective topological remedial actions even for those hours in which the NRAO did not select them due to </w:t>
      </w:r>
      <w:proofErr w:type="spellStart"/>
      <w:r>
        <w:rPr>
          <w:rFonts w:cs="Arial"/>
          <w:bCs/>
          <w:szCs w:val="22"/>
          <w:lang w:val="en-GB"/>
        </w:rPr>
        <w:t>loopflow</w:t>
      </w:r>
      <w:proofErr w:type="spellEnd"/>
      <w:r>
        <w:rPr>
          <w:rFonts w:cs="Arial"/>
          <w:bCs/>
          <w:szCs w:val="22"/>
          <w:lang w:val="en-GB"/>
        </w:rPr>
        <w:t xml:space="preserve"> constraint violation, but the selection of RA would have mitigated the application of IVA amount.</w:t>
      </w:r>
    </w:p>
    <w:p w:rsidR="00E054CC" w:rsidP="00E054CC" w:rsidRDefault="00E054CC" w14:paraId="231FD68E" w14:textId="77777777">
      <w:pPr>
        <w:rPr>
          <w:rFonts w:eastAsia="Arial" w:cs="Arial"/>
          <w:bCs/>
        </w:rPr>
      </w:pPr>
      <w:r>
        <w:rPr>
          <w:rFonts w:cs="Arial"/>
          <w:bCs/>
          <w:szCs w:val="22"/>
          <w:lang w:val="en-GB"/>
        </w:rPr>
        <w:t xml:space="preserve">Based on growing operational experience, methodological improvement in the IVA calculation by excluding areas of the domain in which the concerned overloaded element to the amount of IVA is less sensitive. </w:t>
      </w:r>
      <w:r>
        <w:rPr>
          <w:rFonts w:cs="Arial"/>
          <w:bCs/>
          <w:szCs w:val="22"/>
          <w:lang w:val="en-GB" w:eastAsia="nl-NL"/>
        </w:rPr>
        <w:t xml:space="preserve">Note that the operational experience also shows better judgement of IVA applications as to </w:t>
      </w:r>
      <w:r>
        <w:rPr>
          <w:rFonts w:eastAsia="Arial" w:cs="Arial"/>
          <w:bCs/>
        </w:rPr>
        <w:t>the trade-off between operational security and offered capacities.</w:t>
      </w:r>
    </w:p>
    <w:p w:rsidR="00E054CC" w:rsidP="00E054CC" w:rsidRDefault="00E054CC" w14:paraId="1776CABF" w14:textId="77777777">
      <w:pPr>
        <w:rPr>
          <w:rFonts w:eastAsia="Arial" w:cs="Arial"/>
          <w:bCs/>
        </w:rPr>
      </w:pPr>
    </w:p>
    <w:p w:rsidR="00E054CC" w:rsidP="00E054CC" w:rsidRDefault="00E054CC" w14:paraId="434CCDF7" w14:textId="77777777">
      <w:pPr>
        <w:spacing w:after="200"/>
        <w:rPr>
          <w:lang w:eastAsia="nl-NL"/>
        </w:rPr>
      </w:pPr>
      <w:r>
        <w:rPr>
          <w:lang w:eastAsia="nl-NL"/>
        </w:rPr>
        <w:t>There</w:t>
      </w:r>
      <w:r w:rsidRPr="00FC105E">
        <w:rPr>
          <w:lang w:eastAsia="nl-NL"/>
        </w:rPr>
        <w:t xml:space="preserve"> are several internal projects and cross-border projects planned with Slovakia, Romania and Serbia to further increase capacities available for the commercial cross-border trades in the da</w:t>
      </w:r>
      <w:r>
        <w:rPr>
          <w:lang w:eastAsia="nl-NL"/>
        </w:rPr>
        <w:t>y</w:t>
      </w:r>
      <w:r w:rsidRPr="00FC105E">
        <w:rPr>
          <w:lang w:eastAsia="nl-NL"/>
        </w:rPr>
        <w:t>-head and intraday market timeframes.</w:t>
      </w:r>
      <w:r>
        <w:rPr>
          <w:lang w:eastAsia="nl-NL"/>
        </w:rPr>
        <w:t xml:space="preserve"> The planned cross-border investments by 2030 are the following, all included in TYNDP 2024:</w:t>
      </w:r>
    </w:p>
    <w:p w:rsidR="00E054CC" w:rsidP="00E054CC" w:rsidRDefault="00E054CC" w14:paraId="748648A1" w14:textId="77777777">
      <w:pPr>
        <w:pStyle w:val="Listaszerbekezds"/>
        <w:numPr>
          <w:ilvl w:val="0"/>
          <w:numId w:val="14"/>
        </w:numPr>
        <w:spacing w:after="200" w:line="276" w:lineRule="auto"/>
        <w:rPr>
          <w:lang w:eastAsia="nl-NL"/>
        </w:rPr>
      </w:pPr>
      <w:r>
        <w:rPr>
          <w:lang w:eastAsia="nl-NL"/>
        </w:rPr>
        <w:t xml:space="preserve">Second circuit of the 400 kV OHL </w:t>
      </w:r>
      <w:proofErr w:type="spellStart"/>
      <w:r>
        <w:rPr>
          <w:lang w:eastAsia="nl-NL"/>
        </w:rPr>
        <w:t>Sajoivanka</w:t>
      </w:r>
      <w:proofErr w:type="spellEnd"/>
      <w:r>
        <w:rPr>
          <w:lang w:eastAsia="nl-NL"/>
        </w:rPr>
        <w:t xml:space="preserve"> (HU) – </w:t>
      </w:r>
      <w:proofErr w:type="spellStart"/>
      <w:r>
        <w:rPr>
          <w:lang w:eastAsia="nl-NL"/>
        </w:rPr>
        <w:t>Rimavská</w:t>
      </w:r>
      <w:proofErr w:type="spellEnd"/>
      <w:r>
        <w:rPr>
          <w:lang w:eastAsia="nl-NL"/>
        </w:rPr>
        <w:t xml:space="preserve"> </w:t>
      </w:r>
      <w:proofErr w:type="spellStart"/>
      <w:r>
        <w:rPr>
          <w:lang w:eastAsia="nl-NL"/>
        </w:rPr>
        <w:t>Sobota</w:t>
      </w:r>
      <w:proofErr w:type="spellEnd"/>
      <w:r>
        <w:rPr>
          <w:lang w:eastAsia="nl-NL"/>
        </w:rPr>
        <w:t xml:space="preserve"> (SK) – (2028)</w:t>
      </w:r>
    </w:p>
    <w:p w:rsidR="00E054CC" w:rsidP="00E054CC" w:rsidRDefault="00E054CC" w14:paraId="5E9D48C4" w14:textId="77777777">
      <w:pPr>
        <w:pStyle w:val="Listaszerbekezds"/>
        <w:numPr>
          <w:ilvl w:val="1"/>
          <w:numId w:val="14"/>
        </w:numPr>
        <w:spacing w:after="200" w:line="276" w:lineRule="auto"/>
        <w:rPr>
          <w:lang w:eastAsia="nl-NL"/>
        </w:rPr>
      </w:pPr>
      <w:r>
        <w:rPr>
          <w:lang w:eastAsia="nl-NL"/>
        </w:rPr>
        <w:t>This grid investment should help to reduce the congestion for [SK-HU] Levice – God [DIR] [HU] and [SK-</w:t>
      </w:r>
      <w:proofErr w:type="gramStart"/>
      <w:r>
        <w:rPr>
          <w:lang w:eastAsia="nl-NL"/>
        </w:rPr>
        <w:t>HU]  R.</w:t>
      </w:r>
      <w:proofErr w:type="gramEnd"/>
      <w:r>
        <w:rPr>
          <w:lang w:eastAsia="nl-NL"/>
        </w:rPr>
        <w:t xml:space="preserve"> </w:t>
      </w:r>
      <w:proofErr w:type="spellStart"/>
      <w:r>
        <w:rPr>
          <w:lang w:eastAsia="nl-NL"/>
        </w:rPr>
        <w:t>Sobota</w:t>
      </w:r>
      <w:proofErr w:type="spellEnd"/>
      <w:r>
        <w:rPr>
          <w:lang w:eastAsia="nl-NL"/>
        </w:rPr>
        <w:t xml:space="preserve"> – </w:t>
      </w:r>
      <w:proofErr w:type="spellStart"/>
      <w:r>
        <w:rPr>
          <w:lang w:eastAsia="nl-NL"/>
        </w:rPr>
        <w:t>Sajoivanka</w:t>
      </w:r>
      <w:proofErr w:type="spellEnd"/>
      <w:r>
        <w:rPr>
          <w:lang w:eastAsia="nl-NL"/>
        </w:rPr>
        <w:t xml:space="preserve"> [DIR] [HU] cross-border CNEC</w:t>
      </w:r>
    </w:p>
    <w:p w:rsidRPr="00FC105E" w:rsidR="00E054CC" w:rsidP="00E054CC" w:rsidRDefault="00E054CC" w14:paraId="52FD5FD8" w14:textId="77777777">
      <w:pPr>
        <w:pStyle w:val="Listaszerbekezds"/>
        <w:numPr>
          <w:ilvl w:val="0"/>
          <w:numId w:val="14"/>
        </w:numPr>
        <w:spacing w:after="200" w:line="276" w:lineRule="auto"/>
        <w:rPr>
          <w:lang w:val="es-ES" w:eastAsia="nl-NL"/>
        </w:rPr>
      </w:pPr>
      <w:r w:rsidRPr="00FC105E">
        <w:rPr>
          <w:lang w:val="es-ES" w:eastAsia="nl-NL"/>
        </w:rPr>
        <w:lastRenderedPageBreak/>
        <w:t>New 400 kV OHL Debrecen Del (HU) - Oradea Sud (RO) – (2030)</w:t>
      </w:r>
    </w:p>
    <w:p w:rsidR="00E054CC" w:rsidP="00E054CC" w:rsidRDefault="00E054CC" w14:paraId="5D52B6BC" w14:textId="77777777">
      <w:pPr>
        <w:pStyle w:val="Listaszerbekezds"/>
        <w:numPr>
          <w:ilvl w:val="1"/>
          <w:numId w:val="14"/>
        </w:numPr>
        <w:spacing w:after="200" w:line="276" w:lineRule="auto"/>
        <w:rPr>
          <w:lang w:eastAsia="nl-NL"/>
        </w:rPr>
      </w:pPr>
      <w:r>
        <w:rPr>
          <w:lang w:eastAsia="nl-NL"/>
        </w:rPr>
        <w:t xml:space="preserve">This grid investment should help to reduce the congestion for the [RO-HU] Arad – </w:t>
      </w:r>
      <w:proofErr w:type="spellStart"/>
      <w:r>
        <w:rPr>
          <w:lang w:eastAsia="nl-NL"/>
        </w:rPr>
        <w:t>Sandorfalva</w:t>
      </w:r>
      <w:proofErr w:type="spellEnd"/>
      <w:r>
        <w:rPr>
          <w:lang w:eastAsia="nl-NL"/>
        </w:rPr>
        <w:t xml:space="preserve"> [OPP] [HU] cross-border CNEC</w:t>
      </w:r>
    </w:p>
    <w:p w:rsidR="00E054CC" w:rsidP="00E054CC" w:rsidRDefault="00E054CC" w14:paraId="49393F42" w14:textId="77777777">
      <w:pPr>
        <w:pStyle w:val="Listaszerbekezds"/>
        <w:numPr>
          <w:ilvl w:val="0"/>
          <w:numId w:val="14"/>
        </w:numPr>
        <w:spacing w:after="200" w:line="276" w:lineRule="auto"/>
        <w:rPr>
          <w:lang w:eastAsia="nl-NL"/>
        </w:rPr>
      </w:pPr>
      <w:r>
        <w:rPr>
          <w:lang w:eastAsia="nl-NL"/>
        </w:rPr>
        <w:t xml:space="preserve">Second circuit of the 400 kV OHL Nadab (RO) - </w:t>
      </w:r>
      <w:proofErr w:type="spellStart"/>
      <w:r>
        <w:rPr>
          <w:lang w:eastAsia="nl-NL"/>
        </w:rPr>
        <w:t>Bekescsaba</w:t>
      </w:r>
      <w:proofErr w:type="spellEnd"/>
      <w:r>
        <w:rPr>
          <w:lang w:eastAsia="nl-NL"/>
        </w:rPr>
        <w:t xml:space="preserve"> (HU) – (2028)</w:t>
      </w:r>
    </w:p>
    <w:p w:rsidR="00E054CC" w:rsidP="00E054CC" w:rsidRDefault="00E054CC" w14:paraId="343CB592" w14:textId="77777777">
      <w:pPr>
        <w:pStyle w:val="Listaszerbekezds"/>
        <w:numPr>
          <w:ilvl w:val="1"/>
          <w:numId w:val="14"/>
        </w:numPr>
        <w:spacing w:after="200" w:line="276" w:lineRule="auto"/>
        <w:rPr>
          <w:lang w:eastAsia="nl-NL"/>
        </w:rPr>
      </w:pPr>
      <w:r>
        <w:rPr>
          <w:lang w:eastAsia="nl-NL"/>
        </w:rPr>
        <w:t xml:space="preserve">This grid investment should help to reduce the congestion for the [RO-HU] Arad – </w:t>
      </w:r>
      <w:proofErr w:type="spellStart"/>
      <w:r>
        <w:rPr>
          <w:lang w:eastAsia="nl-NL"/>
        </w:rPr>
        <w:t>Sandorfalva</w:t>
      </w:r>
      <w:proofErr w:type="spellEnd"/>
      <w:r>
        <w:rPr>
          <w:lang w:eastAsia="nl-NL"/>
        </w:rPr>
        <w:t xml:space="preserve"> [OPP] [HU] cross-border CNEC</w:t>
      </w:r>
    </w:p>
    <w:p w:rsidR="00E054CC" w:rsidP="00E054CC" w:rsidRDefault="00E054CC" w14:paraId="180E7FC7" w14:textId="77777777">
      <w:pPr>
        <w:pStyle w:val="Listaszerbekezds"/>
        <w:numPr>
          <w:ilvl w:val="0"/>
          <w:numId w:val="14"/>
        </w:numPr>
        <w:spacing w:after="200" w:line="276" w:lineRule="auto"/>
        <w:rPr>
          <w:lang w:eastAsia="nl-NL"/>
        </w:rPr>
      </w:pPr>
      <w:r>
        <w:rPr>
          <w:lang w:eastAsia="nl-NL"/>
        </w:rPr>
        <w:t xml:space="preserve">New 400 kV OHL SS Subotica 3 (RS) – SS </w:t>
      </w:r>
      <w:proofErr w:type="spellStart"/>
      <w:r>
        <w:rPr>
          <w:lang w:eastAsia="nl-NL"/>
        </w:rPr>
        <w:t>Sandorfalva</w:t>
      </w:r>
      <w:proofErr w:type="spellEnd"/>
      <w:r>
        <w:rPr>
          <w:lang w:eastAsia="nl-NL"/>
        </w:rPr>
        <w:t xml:space="preserve"> (HU) – (2028)</w:t>
      </w:r>
    </w:p>
    <w:p w:rsidR="00E054CC" w:rsidP="00E054CC" w:rsidRDefault="00E054CC" w14:paraId="7F48B1AE" w14:textId="77777777">
      <w:pPr>
        <w:pStyle w:val="Listaszerbekezds"/>
        <w:numPr>
          <w:ilvl w:val="1"/>
          <w:numId w:val="14"/>
        </w:numPr>
        <w:spacing w:after="200" w:line="276" w:lineRule="auto"/>
        <w:rPr>
          <w:lang w:eastAsia="nl-NL"/>
        </w:rPr>
      </w:pPr>
      <w:r>
        <w:rPr>
          <w:lang w:eastAsia="nl-NL"/>
        </w:rPr>
        <w:t xml:space="preserve">This grid investment should help to reduce the congestion for the [RO-HU] Arad – </w:t>
      </w:r>
      <w:proofErr w:type="spellStart"/>
      <w:r>
        <w:rPr>
          <w:lang w:eastAsia="nl-NL"/>
        </w:rPr>
        <w:t>Sandorfalva</w:t>
      </w:r>
      <w:proofErr w:type="spellEnd"/>
      <w:r>
        <w:rPr>
          <w:lang w:eastAsia="nl-NL"/>
        </w:rPr>
        <w:t xml:space="preserve"> [OPP] [HU] cross-border CNEC</w:t>
      </w:r>
    </w:p>
    <w:p w:rsidR="00E054CC" w:rsidP="00E054CC" w:rsidRDefault="00E054CC" w14:paraId="22D56FDA" w14:textId="77777777">
      <w:pPr>
        <w:spacing w:after="200"/>
        <w:rPr>
          <w:lang w:eastAsia="nl-NL"/>
        </w:rPr>
      </w:pPr>
      <w:r>
        <w:rPr>
          <w:lang w:eastAsia="nl-NL"/>
        </w:rPr>
        <w:t>In addition to the cross-border investments, the following internal investments are expected to have a significant effect on cross-zonal trade:</w:t>
      </w:r>
    </w:p>
    <w:p w:rsidR="00E054CC" w:rsidP="00E054CC" w:rsidRDefault="00E054CC" w14:paraId="7130B99C" w14:textId="77777777">
      <w:pPr>
        <w:pStyle w:val="Listaszerbekezds"/>
        <w:numPr>
          <w:ilvl w:val="0"/>
          <w:numId w:val="15"/>
        </w:numPr>
        <w:spacing w:after="200" w:line="276" w:lineRule="auto"/>
        <w:rPr>
          <w:lang w:eastAsia="nl-NL"/>
        </w:rPr>
      </w:pPr>
      <w:r>
        <w:rPr>
          <w:lang w:eastAsia="nl-NL"/>
        </w:rPr>
        <w:t xml:space="preserve">New 400 kV OHL between </w:t>
      </w:r>
      <w:proofErr w:type="spellStart"/>
      <w:r>
        <w:rPr>
          <w:lang w:eastAsia="nl-NL"/>
        </w:rPr>
        <w:t>Sandorfalva</w:t>
      </w:r>
      <w:proofErr w:type="spellEnd"/>
      <w:r>
        <w:rPr>
          <w:lang w:eastAsia="nl-NL"/>
        </w:rPr>
        <w:t xml:space="preserve"> and Szolnok, replacing the existing 220 kV line (2028)</w:t>
      </w:r>
    </w:p>
    <w:p w:rsidR="00E054CC" w:rsidP="00E054CC" w:rsidRDefault="00E054CC" w14:paraId="754D9772" w14:textId="77777777">
      <w:pPr>
        <w:pStyle w:val="Listaszerbekezds"/>
        <w:numPr>
          <w:ilvl w:val="1"/>
          <w:numId w:val="15"/>
        </w:numPr>
        <w:spacing w:after="200" w:line="276" w:lineRule="auto"/>
        <w:rPr>
          <w:lang w:eastAsia="nl-NL"/>
        </w:rPr>
      </w:pPr>
      <w:r>
        <w:rPr>
          <w:lang w:eastAsia="nl-NL"/>
        </w:rPr>
        <w:t xml:space="preserve">This gird investment should help to reduce the congestion for [HU-HU] Paks – </w:t>
      </w:r>
      <w:proofErr w:type="spellStart"/>
      <w:r>
        <w:rPr>
          <w:lang w:eastAsia="nl-NL"/>
        </w:rPr>
        <w:t>Sandorfalva</w:t>
      </w:r>
      <w:proofErr w:type="spellEnd"/>
      <w:r>
        <w:rPr>
          <w:lang w:eastAsia="nl-NL"/>
        </w:rPr>
        <w:t xml:space="preserve"> [DIR]. The [HU-HU] Szolnok – Szeged network element will be decommissioned.</w:t>
      </w:r>
    </w:p>
    <w:p w:rsidR="00E054CC" w:rsidP="00E054CC" w:rsidRDefault="00E054CC" w14:paraId="3CB7E155" w14:textId="77777777">
      <w:pPr>
        <w:pStyle w:val="Listaszerbekezds"/>
        <w:numPr>
          <w:ilvl w:val="0"/>
          <w:numId w:val="15"/>
        </w:numPr>
        <w:spacing w:after="200" w:line="276" w:lineRule="auto"/>
        <w:rPr>
          <w:lang w:eastAsia="nl-NL"/>
        </w:rPr>
      </w:pPr>
      <w:r>
        <w:rPr>
          <w:lang w:eastAsia="nl-NL"/>
        </w:rPr>
        <w:t xml:space="preserve">Second 400 kV OHL between </w:t>
      </w:r>
      <w:proofErr w:type="spellStart"/>
      <w:r>
        <w:rPr>
          <w:lang w:eastAsia="nl-NL"/>
        </w:rPr>
        <w:t>Felsozsolca</w:t>
      </w:r>
      <w:proofErr w:type="spellEnd"/>
      <w:r>
        <w:rPr>
          <w:lang w:eastAsia="nl-NL"/>
        </w:rPr>
        <w:t xml:space="preserve"> and </w:t>
      </w:r>
      <w:proofErr w:type="spellStart"/>
      <w:r>
        <w:rPr>
          <w:lang w:eastAsia="nl-NL"/>
        </w:rPr>
        <w:t>Sajoivanka</w:t>
      </w:r>
      <w:proofErr w:type="spellEnd"/>
      <w:r>
        <w:rPr>
          <w:lang w:eastAsia="nl-NL"/>
        </w:rPr>
        <w:t xml:space="preserve"> (2026)</w:t>
      </w:r>
    </w:p>
    <w:p w:rsidR="00E054CC" w:rsidP="00E054CC" w:rsidRDefault="00E054CC" w14:paraId="754C4986" w14:textId="77777777">
      <w:pPr>
        <w:pStyle w:val="Listaszerbekezds"/>
        <w:numPr>
          <w:ilvl w:val="1"/>
          <w:numId w:val="15"/>
        </w:numPr>
        <w:spacing w:after="200" w:line="276" w:lineRule="auto"/>
        <w:rPr>
          <w:lang w:eastAsia="nl-NL"/>
        </w:rPr>
      </w:pPr>
      <w:r>
        <w:rPr>
          <w:lang w:eastAsia="nl-NL"/>
        </w:rPr>
        <w:t xml:space="preserve">This gird investment should help to reduce the congestion for [SK-HU] Levice – God [DIR] [HU] cross-border network element and [HU-HU] </w:t>
      </w:r>
      <w:proofErr w:type="spellStart"/>
      <w:r>
        <w:rPr>
          <w:lang w:eastAsia="nl-NL"/>
        </w:rPr>
        <w:t>Felsozsolca</w:t>
      </w:r>
      <w:proofErr w:type="spellEnd"/>
      <w:r>
        <w:rPr>
          <w:lang w:eastAsia="nl-NL"/>
        </w:rPr>
        <w:t xml:space="preserve"> – </w:t>
      </w:r>
      <w:proofErr w:type="spellStart"/>
      <w:r>
        <w:rPr>
          <w:lang w:eastAsia="nl-NL"/>
        </w:rPr>
        <w:t>Sajoivanka</w:t>
      </w:r>
      <w:proofErr w:type="spellEnd"/>
      <w:r>
        <w:rPr>
          <w:lang w:eastAsia="nl-NL"/>
        </w:rPr>
        <w:t xml:space="preserve"> [OPP] [HU] network element.</w:t>
      </w:r>
    </w:p>
    <w:p w:rsidR="00E054CC" w:rsidP="00E054CC" w:rsidRDefault="00E054CC" w14:paraId="0AAD9D1C" w14:textId="77777777">
      <w:pPr>
        <w:spacing w:after="200"/>
        <w:rPr>
          <w:lang w:eastAsia="nl-NL"/>
        </w:rPr>
      </w:pPr>
      <w:r>
        <w:rPr>
          <w:lang w:eastAsia="nl-NL"/>
        </w:rPr>
        <w:t xml:space="preserve">It is important to note that there are also internal and cross-border grid development projects in Slovakia which are foreseen to considerably mitigate grid constraints over the SK – HU. </w:t>
      </w:r>
    </w:p>
    <w:p w:rsidR="00E054CC" w:rsidP="00E054CC" w:rsidRDefault="00E054CC" w14:paraId="4170DF5D" w14:textId="77777777">
      <w:pPr>
        <w:pStyle w:val="Listaszerbekezds"/>
        <w:numPr>
          <w:ilvl w:val="0"/>
          <w:numId w:val="16"/>
        </w:numPr>
        <w:spacing w:after="200" w:line="276" w:lineRule="auto"/>
        <w:rPr>
          <w:lang w:eastAsia="nl-NL"/>
        </w:rPr>
      </w:pPr>
      <w:r>
        <w:rPr>
          <w:lang w:eastAsia="nl-NL"/>
        </w:rPr>
        <w:t xml:space="preserve">   Planned development in the Velky Dur – Levice region (2029)</w:t>
      </w:r>
    </w:p>
    <w:p w:rsidR="00E054CC" w:rsidP="00E054CC" w:rsidRDefault="00E054CC" w14:paraId="2235C25C" w14:textId="77777777">
      <w:pPr>
        <w:pStyle w:val="Listaszerbekezds"/>
        <w:numPr>
          <w:ilvl w:val="1"/>
          <w:numId w:val="16"/>
        </w:numPr>
        <w:spacing w:line="276" w:lineRule="auto"/>
        <w:jc w:val="left"/>
        <w:rPr>
          <w:lang w:eastAsia="nl-NL"/>
        </w:rPr>
      </w:pPr>
      <w:r w:rsidRPr="00EB6784">
        <w:rPr>
          <w:lang w:eastAsia="nl-NL"/>
        </w:rPr>
        <w:t>This gr</w:t>
      </w:r>
      <w:r>
        <w:rPr>
          <w:lang w:eastAsia="nl-NL"/>
        </w:rPr>
        <w:t>i</w:t>
      </w:r>
      <w:r w:rsidRPr="00EB6784">
        <w:rPr>
          <w:lang w:eastAsia="nl-NL"/>
        </w:rPr>
        <w:t xml:space="preserve">d investment should help to </w:t>
      </w:r>
      <w:r>
        <w:rPr>
          <w:lang w:eastAsia="nl-NL"/>
        </w:rPr>
        <w:t xml:space="preserve">largely </w:t>
      </w:r>
      <w:r w:rsidRPr="00EB6784">
        <w:rPr>
          <w:lang w:eastAsia="nl-NL"/>
        </w:rPr>
        <w:t xml:space="preserve">reduce the </w:t>
      </w:r>
      <w:r>
        <w:rPr>
          <w:lang w:eastAsia="nl-NL"/>
        </w:rPr>
        <w:t xml:space="preserve">most </w:t>
      </w:r>
      <w:r w:rsidRPr="00EB6784">
        <w:rPr>
          <w:lang w:eastAsia="nl-NL"/>
        </w:rPr>
        <w:t>frequen</w:t>
      </w:r>
      <w:r>
        <w:rPr>
          <w:lang w:eastAsia="nl-NL"/>
        </w:rPr>
        <w:t>tly</w:t>
      </w:r>
      <w:r w:rsidRPr="00EB6784">
        <w:rPr>
          <w:lang w:eastAsia="nl-NL"/>
        </w:rPr>
        <w:t xml:space="preserve"> </w:t>
      </w:r>
      <w:r>
        <w:rPr>
          <w:lang w:eastAsia="nl-NL"/>
        </w:rPr>
        <w:t xml:space="preserve">limiting constraints </w:t>
      </w:r>
      <w:r w:rsidRPr="00EB6784">
        <w:rPr>
          <w:lang w:eastAsia="nl-NL"/>
        </w:rPr>
        <w:t>[</w:t>
      </w:r>
      <w:r>
        <w:rPr>
          <w:lang w:eastAsia="nl-NL"/>
        </w:rPr>
        <w:t>SK</w:t>
      </w:r>
      <w:r w:rsidRPr="00EB6784">
        <w:rPr>
          <w:lang w:eastAsia="nl-NL"/>
        </w:rPr>
        <w:t>-</w:t>
      </w:r>
      <w:r>
        <w:rPr>
          <w:lang w:eastAsia="nl-NL"/>
        </w:rPr>
        <w:t>SK</w:t>
      </w:r>
      <w:r w:rsidRPr="00EB6784">
        <w:rPr>
          <w:lang w:eastAsia="nl-NL"/>
        </w:rPr>
        <w:t xml:space="preserve">] </w:t>
      </w:r>
      <w:r>
        <w:rPr>
          <w:lang w:eastAsia="nl-NL"/>
        </w:rPr>
        <w:t>V. Dur</w:t>
      </w:r>
      <w:r w:rsidRPr="00EB6784">
        <w:rPr>
          <w:lang w:eastAsia="nl-NL"/>
        </w:rPr>
        <w:t xml:space="preserve"> – </w:t>
      </w:r>
      <w:r>
        <w:rPr>
          <w:lang w:eastAsia="nl-NL"/>
        </w:rPr>
        <w:t xml:space="preserve">Levice 1 </w:t>
      </w:r>
      <w:r w:rsidRPr="00EB6784">
        <w:rPr>
          <w:lang w:eastAsia="nl-NL"/>
        </w:rPr>
        <w:t>[DIR]</w:t>
      </w:r>
      <w:r>
        <w:rPr>
          <w:lang w:eastAsia="nl-NL"/>
        </w:rPr>
        <w:t xml:space="preserve"> and </w:t>
      </w:r>
      <w:r w:rsidRPr="00EB6784">
        <w:rPr>
          <w:lang w:eastAsia="nl-NL"/>
        </w:rPr>
        <w:t>[</w:t>
      </w:r>
      <w:r>
        <w:rPr>
          <w:lang w:eastAsia="nl-NL"/>
        </w:rPr>
        <w:t>SK</w:t>
      </w:r>
      <w:r w:rsidRPr="00EB6784">
        <w:rPr>
          <w:lang w:eastAsia="nl-NL"/>
        </w:rPr>
        <w:t>-</w:t>
      </w:r>
      <w:r>
        <w:rPr>
          <w:lang w:eastAsia="nl-NL"/>
        </w:rPr>
        <w:t>SK</w:t>
      </w:r>
      <w:r w:rsidRPr="00EB6784">
        <w:rPr>
          <w:lang w:eastAsia="nl-NL"/>
        </w:rPr>
        <w:t xml:space="preserve">] </w:t>
      </w:r>
      <w:r>
        <w:rPr>
          <w:lang w:eastAsia="nl-NL"/>
        </w:rPr>
        <w:t>V. Dur</w:t>
      </w:r>
      <w:r w:rsidRPr="00EB6784">
        <w:rPr>
          <w:lang w:eastAsia="nl-NL"/>
        </w:rPr>
        <w:t xml:space="preserve"> – </w:t>
      </w:r>
      <w:r>
        <w:rPr>
          <w:lang w:eastAsia="nl-NL"/>
        </w:rPr>
        <w:t xml:space="preserve">Levice 2 </w:t>
      </w:r>
      <w:r w:rsidRPr="00EB6784">
        <w:rPr>
          <w:lang w:eastAsia="nl-NL"/>
        </w:rPr>
        <w:t>[DIR]</w:t>
      </w:r>
      <w:r>
        <w:rPr>
          <w:lang w:eastAsia="nl-NL"/>
        </w:rPr>
        <w:t xml:space="preserve"> from the Top 20 ATC limiting element list</w:t>
      </w:r>
      <w:r w:rsidRPr="00EB6784">
        <w:rPr>
          <w:lang w:eastAsia="nl-NL"/>
        </w:rPr>
        <w:t xml:space="preserve">. </w:t>
      </w:r>
      <w:r>
        <w:rPr>
          <w:lang w:eastAsia="nl-NL"/>
        </w:rPr>
        <w:t>It is also foreseen to help to mitigate the grid constraints over the SK – HU border</w:t>
      </w:r>
    </w:p>
    <w:p w:rsidR="00E054CC" w:rsidP="00E054CC" w:rsidRDefault="00E054CC" w14:paraId="036E1985" w14:textId="77777777">
      <w:pPr>
        <w:spacing w:line="276" w:lineRule="auto"/>
        <w:jc w:val="left"/>
        <w:rPr>
          <w:lang w:eastAsia="nl-NL"/>
        </w:rPr>
      </w:pPr>
    </w:p>
    <w:p w:rsidRPr="00E054CC" w:rsidR="00E054CC" w:rsidP="00A5A4EE" w:rsidRDefault="00E054CC" w14:paraId="69717D64" w14:textId="7E1BA628">
      <w:pPr>
        <w:spacing w:line="276" w:lineRule="auto"/>
        <w:jc w:val="left"/>
        <w:rPr>
          <w:lang w:eastAsia="nl-NL"/>
        </w:rPr>
      </w:pPr>
      <w:r w:rsidRPr="00A5A4EE" w:rsidR="00A5A4EE">
        <w:rPr>
          <w:lang w:eastAsia="nl-NL"/>
        </w:rPr>
        <w:t xml:space="preserve">Although MAVIR provides already today </w:t>
      </w:r>
      <w:r w:rsidRPr="00A5A4EE" w:rsidR="00A5A4EE">
        <w:rPr>
          <w:lang w:eastAsia="nl-NL"/>
        </w:rPr>
        <w:t>a high level</w:t>
      </w:r>
      <w:r w:rsidRPr="00A5A4EE" w:rsidR="00A5A4EE">
        <w:rPr>
          <w:lang w:eastAsia="nl-NL"/>
        </w:rPr>
        <w:t xml:space="preserve"> of RAM on most of its CNECs in the day-ahead and intraday </w:t>
      </w:r>
      <w:r w:rsidRPr="00A5A4EE" w:rsidR="00A5A4EE">
        <w:rPr>
          <w:lang w:eastAsia="nl-NL"/>
        </w:rPr>
        <w:t>timeframe</w:t>
      </w:r>
      <w:r w:rsidRPr="00A5A4EE" w:rsidR="00A5A4EE">
        <w:rPr>
          <w:lang w:eastAsia="nl-NL"/>
        </w:rPr>
        <w:t xml:space="preserve"> on several network elements, the RAM may be limited to </w:t>
      </w:r>
      <w:r w:rsidRPr="00A5A4EE" w:rsidR="00A5A4EE">
        <w:rPr>
          <w:lang w:eastAsia="nl-NL"/>
        </w:rPr>
        <w:t>maintain</w:t>
      </w:r>
      <w:r w:rsidRPr="00A5A4EE" w:rsidR="00A5A4EE">
        <w:rPr>
          <w:lang w:eastAsia="nl-NL"/>
        </w:rPr>
        <w:t xml:space="preserve"> operational security. For an increase of the RAM the key is the improvement of security coordination in the Core CCR with the implementation of coordinated validation and ROSC.</w:t>
      </w:r>
    </w:p>
    <w:p w:rsidR="4111B396" w:rsidP="0012099C" w:rsidRDefault="799E5D96" w14:paraId="1B49F6BF" w14:textId="3B093856">
      <w:pPr>
        <w:pStyle w:val="Cmsor1"/>
        <w:rPr/>
      </w:pPr>
      <w:bookmarkStart w:name="_Toc44545263" w:id="1256154514"/>
      <w:r w:rsidR="04A132EC">
        <w:rPr/>
        <w:t>PSE</w:t>
      </w:r>
      <w:bookmarkEnd w:id="1256154514"/>
    </w:p>
    <w:p w:rsidR="37F2883E" w:rsidP="799E5D96" w:rsidRDefault="799E5D96" w14:paraId="309E43C8" w14:textId="397257D4">
      <w:pPr>
        <w:pStyle w:val="Cmsor1"/>
        <w:rPr/>
      </w:pPr>
      <w:bookmarkStart w:name="_Toc494167466" w:id="999070168"/>
      <w:r w:rsidR="04A132EC">
        <w:rPr/>
        <w:t>RTE</w:t>
      </w:r>
      <w:bookmarkEnd w:id="999070168"/>
    </w:p>
    <w:p w:rsidR="13A7972D" w:rsidP="0012099C" w:rsidRDefault="799E5D96" w14:paraId="0A192FD5" w14:textId="004B135F">
      <w:pPr>
        <w:pStyle w:val="Cmsor1"/>
        <w:rPr/>
      </w:pPr>
      <w:bookmarkStart w:name="_Toc1174429378" w:id="1187046007"/>
      <w:r w:rsidR="04A132EC">
        <w:rPr/>
        <w:t>SEPS</w:t>
      </w:r>
      <w:bookmarkEnd w:id="1187046007"/>
    </w:p>
    <w:p w:rsidRPr="00B74194" w:rsidR="03D1E99D" w:rsidP="00B74194" w:rsidRDefault="799E5D96" w14:paraId="23C7C36D" w14:textId="6FEF6CC9">
      <w:pPr>
        <w:pStyle w:val="Cmsor1"/>
        <w:rPr/>
      </w:pPr>
      <w:bookmarkStart w:name="_Toc687864657" w:id="1011196325"/>
      <w:r w:rsidR="04A132EC">
        <w:rPr/>
        <w:t>Transelectrica</w:t>
      </w:r>
      <w:bookmarkEnd w:id="1011196325"/>
    </w:p>
    <w:p w:rsidR="0275277F" w:rsidP="30539578" w:rsidRDefault="0275277F" w14:paraId="037AD010" w14:textId="7E5BFC23">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 xml:space="preserve">In addition to being part of the Core CCR, Transelectrica is also part of SEE CCR with RO – BG border having operational processes for the First Intraday capacity calculation since October 2021 and Second Intraday capacity calculation since October 2022. Moreover, there are three non-EU borders for which there is no coordinated capacity calculation. </w:t>
      </w:r>
    </w:p>
    <w:p w:rsidR="0275277F" w:rsidP="30539578" w:rsidRDefault="0275277F" w14:paraId="5E7D1774" w14:textId="1CB56B0B">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 xml:space="preserve">Regarding the capacity calculation process, the Core ID CCM allows TSOs to correct cross-zonal capacity for reasons of operational security during the validation process individually and in a coordinated way according to Article 18 (2): “Each Core TSO shall validate and have the right to decrease the RAM for reasons of operational security during individual validation. [...] IVA may reduce the RAM only to the minimum degree that is needed to ensure operational security, and only after all the expected available costly and non-costly remedial actions </w:t>
      </w:r>
      <w:r w:rsidRPr="30539578" w:rsidR="30539578">
        <w:rPr>
          <w:rFonts w:ascii="Arial" w:hAnsi="Arial" w:eastAsia="Arial" w:cs="Arial"/>
          <w:noProof w:val="0"/>
          <w:sz w:val="20"/>
          <w:szCs w:val="20"/>
          <w:lang w:val="en-IE"/>
        </w:rPr>
        <w:t>pursuant to</w:t>
      </w:r>
      <w:r w:rsidRPr="30539578" w:rsidR="30539578">
        <w:rPr>
          <w:rFonts w:ascii="Arial" w:hAnsi="Arial" w:eastAsia="Arial" w:cs="Arial"/>
          <w:noProof w:val="0"/>
          <w:sz w:val="20"/>
          <w:szCs w:val="20"/>
          <w:lang w:val="en-IE"/>
        </w:rPr>
        <w:t xml:space="preserve"> </w:t>
      </w:r>
      <w:r w:rsidRPr="30539578" w:rsidR="30539578">
        <w:rPr>
          <w:rFonts w:ascii="Arial" w:hAnsi="Arial" w:eastAsia="Arial" w:cs="Arial"/>
          <w:noProof w:val="0"/>
          <w:sz w:val="20"/>
          <w:szCs w:val="20"/>
          <w:lang w:val="en-IE"/>
        </w:rPr>
        <w:t>Article</w:t>
      </w:r>
      <w:r w:rsidRPr="30539578" w:rsidR="30539578">
        <w:rPr>
          <w:rFonts w:ascii="Arial" w:hAnsi="Arial" w:eastAsia="Arial" w:cs="Arial"/>
          <w:noProof w:val="0"/>
          <w:sz w:val="20"/>
          <w:szCs w:val="20"/>
          <w:lang w:val="en-IE"/>
        </w:rPr>
        <w:t xml:space="preserve"> 22 of the SO Regulation are considered”.</w:t>
      </w:r>
    </w:p>
    <w:p w:rsidR="0275277F" w:rsidP="30539578" w:rsidRDefault="0275277F" w14:paraId="36114D7B" w14:textId="1A445A84">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 xml:space="preserve">For the period 20250401 – </w:t>
      </w:r>
      <w:r w:rsidRPr="30539578" w:rsidR="30539578">
        <w:rPr>
          <w:rFonts w:ascii="Arial" w:hAnsi="Arial" w:eastAsia="Arial" w:cs="Arial"/>
          <w:noProof w:val="0"/>
          <w:sz w:val="20"/>
          <w:szCs w:val="20"/>
          <w:lang w:val="en-GB"/>
        </w:rPr>
        <w:t>20250630</w:t>
      </w:r>
      <w:r w:rsidRPr="30539578" w:rsidR="30539578">
        <w:rPr>
          <w:rFonts w:ascii="Arial" w:hAnsi="Arial" w:eastAsia="Arial" w:cs="Arial"/>
          <w:noProof w:val="0"/>
          <w:sz w:val="20"/>
          <w:szCs w:val="20"/>
          <w:lang w:val="en-IE"/>
        </w:rPr>
        <w:t xml:space="preserve">, </w:t>
      </w:r>
      <w:r w:rsidRPr="30539578" w:rsidR="30539578">
        <w:rPr>
          <w:rFonts w:ascii="Arial" w:hAnsi="Arial" w:eastAsia="Arial" w:cs="Arial"/>
          <w:noProof w:val="0"/>
          <w:sz w:val="20"/>
          <w:szCs w:val="20"/>
          <w:lang w:val="en-IE"/>
        </w:rPr>
        <w:t>Transelectrica</w:t>
      </w:r>
      <w:r w:rsidRPr="30539578" w:rsidR="30539578">
        <w:rPr>
          <w:rFonts w:ascii="Arial" w:hAnsi="Arial" w:eastAsia="Arial" w:cs="Arial"/>
          <w:noProof w:val="0"/>
          <w:sz w:val="20"/>
          <w:szCs w:val="20"/>
          <w:lang w:val="en-IE"/>
        </w:rPr>
        <w:t xml:space="preserve"> applied an Individual Validation Adjustment (IVA) on the following CNEs, for a total of 4.44% of MTUs. In the graph below the average IVA per CNE is represented for the timestamps where reductions were applied.</w:t>
      </w:r>
    </w:p>
    <w:p w:rsidR="0275277F" w:rsidP="30539578" w:rsidRDefault="0275277F" w14:paraId="76DF965D" w14:textId="0A2FA15D">
      <w:pPr>
        <w:spacing w:before="0" w:beforeAutospacing="off" w:after="0" w:afterAutospacing="off" w:line="312" w:lineRule="auto"/>
        <w:ind w:firstLine="0"/>
        <w:jc w:val="both"/>
        <w:rPr>
          <w:rFonts w:ascii="Arial" w:hAnsi="Arial" w:eastAsia="Arial" w:cs="Arial"/>
          <w:noProof w:val="0"/>
          <w:sz w:val="20"/>
          <w:szCs w:val="20"/>
          <w:lang w:val="en-IE"/>
        </w:rPr>
      </w:pPr>
    </w:p>
    <w:p w:rsidR="0275277F" w:rsidP="30539578" w:rsidRDefault="0275277F" w14:paraId="141472D6" w14:textId="56EDF0A4">
      <w:pPr>
        <w:spacing w:before="0" w:beforeAutospacing="off" w:after="0" w:afterAutospacing="off" w:line="312" w:lineRule="auto"/>
        <w:jc w:val="both"/>
      </w:pPr>
      <w:r>
        <w:drawing>
          <wp:inline wp14:editId="16F3AB1B" wp14:anchorId="00354AC0">
            <wp:extent cx="5905502" cy="3228975"/>
            <wp:effectExtent l="0" t="0" r="0" b="0"/>
            <wp:docPr id="301755699" name="" title=""/>
            <wp:cNvGraphicFramePr>
              <a:graphicFrameLocks noChangeAspect="1"/>
            </wp:cNvGraphicFramePr>
            <a:graphic>
              <a:graphicData uri="http://schemas.openxmlformats.org/drawingml/2006/picture">
                <pic:pic>
                  <pic:nvPicPr>
                    <pic:cNvPr id="0" name=""/>
                    <pic:cNvPicPr/>
                  </pic:nvPicPr>
                  <pic:blipFill>
                    <a:blip r:embed="R56245f2f9b1f45c2">
                      <a:extLst>
                        <a:ext xmlns:a="http://schemas.openxmlformats.org/drawingml/2006/main" uri="{28A0092B-C50C-407E-A947-70E740481C1C}">
                          <a14:useLocalDpi val="0"/>
                        </a:ext>
                      </a:extLst>
                    </a:blip>
                    <a:stretch>
                      <a:fillRect/>
                    </a:stretch>
                  </pic:blipFill>
                  <pic:spPr>
                    <a:xfrm>
                      <a:off x="0" y="0"/>
                      <a:ext cx="5905502" cy="3228975"/>
                    </a:xfrm>
                    <a:prstGeom prst="rect">
                      <a:avLst/>
                    </a:prstGeom>
                  </pic:spPr>
                </pic:pic>
              </a:graphicData>
            </a:graphic>
          </wp:inline>
        </w:drawing>
      </w:r>
    </w:p>
    <w:p w:rsidR="0275277F" w:rsidP="30539578" w:rsidRDefault="0275277F" w14:paraId="6BEBE086" w14:textId="0D010CDA">
      <w:pPr>
        <w:spacing w:before="0" w:beforeAutospacing="off" w:after="0" w:afterAutospacing="off" w:line="312" w:lineRule="auto"/>
        <w:jc w:val="both"/>
      </w:pPr>
      <w:r w:rsidRPr="30539578" w:rsidR="30539578">
        <w:rPr>
          <w:rFonts w:ascii="Arial" w:hAnsi="Arial" w:eastAsia="Arial" w:cs="Arial"/>
          <w:noProof w:val="0"/>
          <w:sz w:val="20"/>
          <w:szCs w:val="20"/>
          <w:lang w:val="en-IE"/>
        </w:rPr>
        <w:t xml:space="preserve"> </w:t>
      </w:r>
    </w:p>
    <w:p w:rsidR="0275277F" w:rsidP="30539578" w:rsidRDefault="0275277F" w14:paraId="05D20E4A" w14:textId="4E088EFC">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OHL 400 kV Portile de Fier – Djerdap is a tieline between Romania and Serbia, both countries having tielines with Bulgaria and Hungary. Because of this, the power flows on OHL 400 kV Portile de Fier – Djerdap are highly impacted by the cross-border exchanges between RO-BG, RO-RS, RO-HU.</w:t>
      </w:r>
    </w:p>
    <w:p w:rsidR="0275277F" w:rsidP="30539578" w:rsidRDefault="0275277F" w14:paraId="4B82B63E" w14:textId="678EF30C">
      <w:pPr>
        <w:spacing w:before="0" w:beforeAutospacing="off" w:after="0" w:afterAutospacing="off" w:line="312" w:lineRule="auto"/>
        <w:jc w:val="both"/>
      </w:pPr>
      <w:r w:rsidRPr="30539578" w:rsidR="30539578">
        <w:rPr>
          <w:rFonts w:ascii="Arial" w:hAnsi="Arial" w:eastAsia="Arial" w:cs="Arial"/>
          <w:noProof w:val="0"/>
          <w:sz w:val="20"/>
          <w:szCs w:val="20"/>
          <w:lang w:val="ro"/>
        </w:rPr>
        <w:t xml:space="preserve">             </w:t>
      </w:r>
    </w:p>
    <w:p w:rsidR="0275277F" w:rsidP="30539578" w:rsidRDefault="0275277F" w14:paraId="0F6A3B18" w14:textId="3E84B853">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General measures to avoid cross-zonal capacity reductions in the future, as per Articles 18(10)(h)(i) and 20(11)(b) of the ID CCM.</w:t>
      </w:r>
    </w:p>
    <w:p w:rsidR="0275277F" w:rsidP="30539578" w:rsidRDefault="0275277F" w14:paraId="2AF487CE" w14:textId="440091C1">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 xml:space="preserve"> </w:t>
      </w:r>
    </w:p>
    <w:p w:rsidR="0275277F" w:rsidP="30539578" w:rsidRDefault="0275277F" w14:paraId="340C7681" w14:textId="4606D694">
      <w:pPr>
        <w:pStyle w:val="Listaszerbekezds"/>
        <w:spacing w:before="0" w:beforeAutospacing="off" w:after="0" w:afterAutospacing="off" w:line="312" w:lineRule="auto"/>
        <w:ind w:left="720" w:right="0" w:hanging="360"/>
        <w:jc w:val="both"/>
        <w:rPr>
          <w:rFonts w:ascii="Arial" w:hAnsi="Arial" w:eastAsia="Arial" w:cs="Arial"/>
          <w:b w:val="1"/>
          <w:bCs w:val="1"/>
          <w:noProof w:val="0"/>
          <w:sz w:val="20"/>
          <w:szCs w:val="20"/>
          <w:lang w:val="en-GB"/>
        </w:rPr>
      </w:pPr>
      <w:r w:rsidRPr="30539578" w:rsidR="30539578">
        <w:rPr>
          <w:rFonts w:ascii="Arial" w:hAnsi="Arial" w:eastAsia="Arial" w:cs="Arial"/>
          <w:b w:val="1"/>
          <w:bCs w:val="1"/>
          <w:noProof w:val="0"/>
          <w:sz w:val="20"/>
          <w:szCs w:val="20"/>
          <w:lang w:val="en-GB"/>
        </w:rPr>
        <w:t>Development of the transmission grid</w:t>
      </w:r>
    </w:p>
    <w:p w:rsidR="0275277F" w:rsidP="30539578" w:rsidRDefault="0275277F" w14:paraId="1380B822" w14:textId="592845DA">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The main measure to reduce overloads in the capacity calculation process is to finalize investment projects with cross-border impact:</w:t>
      </w:r>
    </w:p>
    <w:p w:rsidR="0275277F" w:rsidP="30539578" w:rsidRDefault="0275277F" w14:paraId="5C9DE702" w14:textId="60A8E5A0">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 xml:space="preserve">New OHL 400 kV Portile de Fier – Resita and TIE 400 kV Resita – Pancevo circ. 2 have been commissioned in mid November 2024. TIE 400 kV Resita – Pancevo circ. 1 was commissioned in February 2025. </w:t>
      </w:r>
    </w:p>
    <w:p w:rsidR="0275277F" w:rsidP="30539578" w:rsidRDefault="0275277F" w14:paraId="326805AE" w14:textId="0073630B">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New Autotransformer 400/220 kV in Rosiori substation to be commissioned in 2027;</w:t>
      </w:r>
    </w:p>
    <w:p w:rsidR="0275277F" w:rsidP="30539578" w:rsidRDefault="0275277F" w14:paraId="5ADF2EF9" w14:textId="448A6966">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400 kV OHL Resita – Timisoara – Sacalaz to be commissioned in 2026;</w:t>
      </w:r>
    </w:p>
    <w:p w:rsidR="0275277F" w:rsidP="30539578" w:rsidRDefault="0275277F" w14:paraId="6B75100F" w14:textId="2AD03A4A">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400 kV d.c. OHL Timisoara – Arad to be commissioned in 2027;</w:t>
      </w:r>
    </w:p>
    <w:p w:rsidR="0275277F" w:rsidP="30539578" w:rsidRDefault="0275277F" w14:paraId="249E056A" w14:textId="37F68127">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Increasing the transmission capacity on the OHLs 220 kV Urechesti – Targu Jiu Nord – Paroseni – Baru Mare – Hasdat to be commissioned in 2028;</w:t>
      </w:r>
    </w:p>
    <w:p w:rsidR="0275277F" w:rsidP="30539578" w:rsidRDefault="0275277F" w14:paraId="3A6E411F" w14:textId="7C1900D4">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Increasing the transmission capacity on the OHL 220 kV d.c. Portile de Fier – Resita to be commissioned in 2028;</w:t>
      </w:r>
    </w:p>
    <w:p w:rsidR="0275277F" w:rsidP="30539578" w:rsidRDefault="0275277F" w14:paraId="39BF2B55" w14:textId="77676EB6">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400 kV TIE Nadab – Graniceri circ. 2 to be commissioned in 2027;</w:t>
      </w:r>
    </w:p>
    <w:p w:rsidR="0275277F" w:rsidP="30539578" w:rsidRDefault="0275277F" w14:paraId="022FF93D" w14:textId="36608D88">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400 kV TIE Portile de Fier – Djerdap circ.2 to be commissioned in 2029;</w:t>
      </w:r>
    </w:p>
    <w:p w:rsidR="0275277F" w:rsidP="30539578" w:rsidRDefault="0275277F" w14:paraId="1254ECEE" w14:textId="21D81ACF">
      <w:pPr>
        <w:pStyle w:val="Listaszerbekezds"/>
        <w:spacing w:before="0" w:beforeAutospacing="off" w:after="0" w:afterAutospacing="off" w:line="312" w:lineRule="auto"/>
        <w:jc w:val="both"/>
        <w:rPr>
          <w:rFonts w:ascii="Arial" w:hAnsi="Arial" w:eastAsia="Arial" w:cs="Arial"/>
          <w:noProof w:val="0"/>
          <w:sz w:val="20"/>
          <w:szCs w:val="20"/>
          <w:lang w:val="en-GB"/>
        </w:rPr>
      </w:pPr>
      <w:r w:rsidRPr="30539578" w:rsidR="30539578">
        <w:rPr>
          <w:rFonts w:ascii="Arial" w:hAnsi="Arial" w:eastAsia="Arial" w:cs="Arial"/>
          <w:noProof w:val="0"/>
          <w:sz w:val="20"/>
          <w:szCs w:val="20"/>
          <w:lang w:val="en-GB"/>
        </w:rPr>
        <w:t>400 kV TIE Oradea Sud – Josza to be commissioned in 2030.</w:t>
      </w:r>
    </w:p>
    <w:p w:rsidR="0275277F" w:rsidP="30539578" w:rsidRDefault="0275277F" w14:paraId="12D275AB" w14:textId="6FCBE0E3">
      <w:pPr>
        <w:spacing w:before="0" w:beforeAutospacing="off" w:after="0" w:afterAutospacing="off" w:line="312" w:lineRule="auto"/>
        <w:jc w:val="both"/>
      </w:pPr>
      <w:r w:rsidRPr="30539578" w:rsidR="30539578">
        <w:rPr>
          <w:rFonts w:ascii="Arial" w:hAnsi="Arial" w:eastAsia="Arial" w:cs="Arial"/>
          <w:noProof w:val="0"/>
          <w:sz w:val="20"/>
          <w:szCs w:val="20"/>
          <w:lang w:val="en-IE"/>
        </w:rPr>
        <w:t xml:space="preserve"> </w:t>
      </w:r>
    </w:p>
    <w:p w:rsidR="0275277F" w:rsidP="30539578" w:rsidRDefault="0275277F" w14:paraId="41A60503" w14:textId="6612C7D4">
      <w:pPr>
        <w:pStyle w:val="Listaszerbekezds"/>
        <w:spacing w:before="0" w:beforeAutospacing="off" w:after="0" w:afterAutospacing="off" w:line="312" w:lineRule="auto"/>
        <w:ind w:left="720" w:right="0" w:hanging="360"/>
        <w:jc w:val="both"/>
        <w:rPr>
          <w:rFonts w:ascii="Arial" w:hAnsi="Arial" w:eastAsia="Arial" w:cs="Arial"/>
          <w:b w:val="1"/>
          <w:bCs w:val="1"/>
          <w:noProof w:val="0"/>
          <w:sz w:val="20"/>
          <w:szCs w:val="20"/>
          <w:lang w:val="en-GB"/>
        </w:rPr>
      </w:pPr>
      <w:r w:rsidRPr="30539578" w:rsidR="30539578">
        <w:rPr>
          <w:rFonts w:ascii="Arial" w:hAnsi="Arial" w:eastAsia="Arial" w:cs="Arial"/>
          <w:b w:val="1"/>
          <w:bCs w:val="1"/>
          <w:noProof w:val="0"/>
          <w:sz w:val="20"/>
          <w:szCs w:val="20"/>
          <w:lang w:val="en-GB"/>
        </w:rPr>
        <w:t>Outage planning coordination</w:t>
      </w:r>
    </w:p>
    <w:p w:rsidR="0275277F" w:rsidP="30539578" w:rsidRDefault="0275277F" w14:paraId="091FA63A" w14:textId="346DB872">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 xml:space="preserve">Relevant assets are coordinated in the Outage coordination regions. This coordination has the scope of avoiding simultaneous disconnection of multiple elements with cross-border impact, taking into consideration the system security as a first step. Lately it has been observed that the finalization of the Yearly Maintenance Plan is highly impacted by the level of cross-border capacities provided to the market. Thus, it became a necessity to coordinate the outage of relevant assets also from the perspective of the capacity calculation processes. </w:t>
      </w:r>
    </w:p>
    <w:p w:rsidR="0275277F" w:rsidP="30539578" w:rsidRDefault="0275277F" w14:paraId="5011E2E3" w14:textId="3D1C5B9F">
      <w:pPr>
        <w:spacing w:before="0" w:beforeAutospacing="off" w:after="0" w:afterAutospacing="off" w:line="312" w:lineRule="auto"/>
        <w:jc w:val="both"/>
      </w:pPr>
      <w:r w:rsidRPr="30539578" w:rsidR="30539578">
        <w:rPr>
          <w:rFonts w:ascii="Arial" w:hAnsi="Arial" w:eastAsia="Arial" w:cs="Arial"/>
          <w:noProof w:val="0"/>
          <w:sz w:val="20"/>
          <w:szCs w:val="20"/>
          <w:lang w:val="en-IE"/>
        </w:rPr>
        <w:t xml:space="preserve"> </w:t>
      </w:r>
    </w:p>
    <w:p w:rsidR="0275277F" w:rsidP="30539578" w:rsidRDefault="0275277F" w14:paraId="0B90C812" w14:textId="74ACD7F7">
      <w:pPr>
        <w:pStyle w:val="Listaszerbekezds"/>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GB"/>
        </w:rPr>
      </w:pPr>
      <w:r w:rsidRPr="30539578" w:rsidR="30539578">
        <w:rPr>
          <w:rFonts w:ascii="Arial" w:hAnsi="Arial" w:eastAsia="Arial" w:cs="Arial"/>
          <w:b w:val="1"/>
          <w:bCs w:val="1"/>
          <w:i w:val="1"/>
          <w:iCs w:val="1"/>
          <w:noProof w:val="0"/>
          <w:sz w:val="20"/>
          <w:szCs w:val="20"/>
          <w:lang w:val="en-GB"/>
        </w:rPr>
        <w:t>Implementation of regional coordinated processes for security analysis and redispatching and countertrading processes</w:t>
      </w:r>
    </w:p>
    <w:p w:rsidR="0275277F" w:rsidP="30539578" w:rsidRDefault="0275277F" w14:paraId="642F4CB4" w14:textId="3BF9B8A8">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GB"/>
        </w:rPr>
        <w:t xml:space="preserve">Results of the intraday capacity calculation process come with a lot of uncertainties, mainly due to the input data, volumes of capacity allocated and available redispatching. </w:t>
      </w:r>
      <w:r w:rsidRPr="30539578" w:rsidR="30539578">
        <w:rPr>
          <w:rFonts w:ascii="Arial" w:hAnsi="Arial" w:eastAsia="Arial" w:cs="Arial"/>
          <w:noProof w:val="0"/>
          <w:sz w:val="20"/>
          <w:szCs w:val="20"/>
          <w:lang w:val="ro"/>
        </w:rPr>
        <w:t>Measures to decrease the need of application of IVA include the consideration of internal redispatching. Due to the proximity to real-time, multiple power plants cannot be considered. Also, depending on the location of the congested elements, there may be none, one or multiple generators that can help decreasing the overload, but not necessarily avoiding them altogether.</w:t>
      </w:r>
    </w:p>
    <w:p w:rsidR="0275277F" w:rsidP="30539578" w:rsidRDefault="0275277F" w14:paraId="1061C870" w14:textId="06B7F7A6">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IE"/>
        </w:rPr>
        <w:t>It is thus mandatory to have security analysis implemented at regional level before real-time with coordinated means of reducing the observed overloads.</w:t>
      </w:r>
    </w:p>
    <w:p w:rsidR="0275277F" w:rsidP="30539578" w:rsidRDefault="0275277F" w14:paraId="2519B321" w14:textId="58DE7829">
      <w:pPr>
        <w:spacing w:before="0" w:beforeAutospacing="off" w:after="0" w:afterAutospacing="off" w:line="312" w:lineRule="auto"/>
        <w:ind w:firstLine="720"/>
        <w:jc w:val="both"/>
      </w:pPr>
      <w:r w:rsidRPr="30539578" w:rsidR="30539578">
        <w:rPr>
          <w:rFonts w:ascii="Arial" w:hAnsi="Arial" w:eastAsia="Arial" w:cs="Arial"/>
          <w:noProof w:val="0"/>
          <w:sz w:val="20"/>
          <w:szCs w:val="20"/>
          <w:lang w:val="en-GB"/>
        </w:rPr>
        <w:t>At Core CCR level these processes are still under implementation.</w:t>
      </w:r>
    </w:p>
    <w:p w:rsidR="0275277F" w:rsidP="00077446" w:rsidRDefault="0275277F" w14:paraId="30C55C08" w14:textId="39F30C26"/>
    <w:sectPr w:rsidR="0275277F"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0EE0" w:rsidP="00B7680D" w:rsidRDefault="00250EE0" w14:paraId="69564704" w14:textId="77777777">
      <w:pPr>
        <w:spacing w:line="240" w:lineRule="auto"/>
      </w:pPr>
      <w:r>
        <w:separator/>
      </w:r>
    </w:p>
    <w:p w:rsidR="00250EE0" w:rsidRDefault="00250EE0" w14:paraId="2DEF549F" w14:textId="77777777"/>
  </w:endnote>
  <w:endnote w:type="continuationSeparator" w:id="0">
    <w:p w:rsidR="00250EE0" w:rsidP="00B7680D" w:rsidRDefault="00250EE0" w14:paraId="5696182D" w14:textId="77777777">
      <w:pPr>
        <w:spacing w:line="240" w:lineRule="auto"/>
      </w:pPr>
      <w:r>
        <w:continuationSeparator/>
      </w:r>
    </w:p>
    <w:p w:rsidR="00250EE0" w:rsidRDefault="00250EE0" w14:paraId="572A677D" w14:textId="77777777"/>
  </w:endnote>
  <w:endnote w:type="continuationNotice" w:id="1">
    <w:p w:rsidR="00250EE0" w:rsidRDefault="00250EE0" w14:paraId="3E9B968F" w14:textId="77777777">
      <w:pPr>
        <w:spacing w:line="240" w:lineRule="auto"/>
      </w:pPr>
    </w:p>
    <w:p w:rsidR="00250EE0" w:rsidRDefault="00250EE0" w14:paraId="71EBBB9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43C0EDE6" w14:textId="77777777">
    <w:pPr>
      <w:pStyle w:val="llb"/>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P="00B917C5" w:rsidRDefault="00976D05" w14:paraId="46DC043E" w14:textId="5FB2C7DB">
    <w:pPr>
      <w:pStyle w:val="llb"/>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0EE0" w:rsidP="00B7680D" w:rsidRDefault="00250EE0" w14:paraId="56DE0F5E" w14:textId="77777777">
      <w:pPr>
        <w:spacing w:line="240" w:lineRule="auto"/>
      </w:pPr>
      <w:r>
        <w:separator/>
      </w:r>
    </w:p>
    <w:p w:rsidR="00250EE0" w:rsidRDefault="00250EE0" w14:paraId="20006038" w14:textId="77777777"/>
  </w:footnote>
  <w:footnote w:type="continuationSeparator" w:id="0">
    <w:p w:rsidR="00250EE0" w:rsidP="00B7680D" w:rsidRDefault="00250EE0" w14:paraId="1ACCC091" w14:textId="77777777">
      <w:pPr>
        <w:spacing w:line="240" w:lineRule="auto"/>
      </w:pPr>
      <w:r>
        <w:continuationSeparator/>
      </w:r>
    </w:p>
    <w:p w:rsidR="00250EE0" w:rsidRDefault="00250EE0" w14:paraId="3C043B0A" w14:textId="77777777"/>
  </w:footnote>
  <w:footnote w:type="continuationNotice" w:id="1">
    <w:p w:rsidR="00250EE0" w:rsidRDefault="00250EE0" w14:paraId="5497B9B0" w14:textId="77777777">
      <w:pPr>
        <w:spacing w:line="240" w:lineRule="auto"/>
      </w:pPr>
    </w:p>
    <w:p w:rsidR="00250EE0" w:rsidRDefault="00250EE0" w14:paraId="5BBB7D3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6D05" w:rsidRDefault="00976D05" w14:paraId="2B88AEE6" w14:textId="77777777">
    <w:pPr>
      <w:pStyle w:val="lfej"/>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756BF1" w:rsidR="00976D05" w:rsidP="00544905" w:rsidRDefault="00976D05" w14:paraId="71CF049F" w14:textId="77777777">
    <w:pPr>
      <w:pStyle w:val="lfej"/>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8B4FC2" w:rsidR="00976D05" w:rsidP="008B4FC2" w:rsidRDefault="008B4FC2" w14:paraId="75362D0B" w14:textId="01152B2A">
    <w:pPr>
      <w:pStyle w:val="lfej"/>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0">
    <w:nsid w:val="70796e4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73cc9cd3"/>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433b93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4524d8fe"/>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Felsorols"/>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Cmsor1"/>
      <w:lvlText w:val="%1."/>
      <w:lvlJc w:val="left"/>
      <w:pPr>
        <w:tabs>
          <w:tab w:val="num" w:pos="0"/>
        </w:tabs>
        <w:ind w:left="0" w:firstLine="0"/>
      </w:pPr>
      <w:rPr>
        <w:rFonts w:ascii="Arial" w:hAnsi="Arial" w:cs="Arial" w:eastAsiaTheme="minorHAnsi"/>
        <w:sz w:val="20"/>
        <w:szCs w:val="20"/>
      </w:rPr>
    </w:lvl>
    <w:lvl w:ilvl="1">
      <w:start w:val="1"/>
      <w:numFmt w:val="decimal"/>
      <w:pStyle w:val="Cmsor2"/>
      <w:lvlText w:val="%1.%2."/>
      <w:lvlJc w:val="left"/>
      <w:pPr>
        <w:tabs>
          <w:tab w:val="num" w:pos="0"/>
        </w:tabs>
        <w:ind w:left="0" w:firstLine="0"/>
      </w:pPr>
      <w:rPr>
        <w:rFonts w:hint="default"/>
        <w:sz w:val="20"/>
        <w:szCs w:val="20"/>
      </w:rPr>
    </w:lvl>
    <w:lvl w:ilvl="2">
      <w:start w:val="1"/>
      <w:numFmt w:val="decimal"/>
      <w:pStyle w:val="Cmsor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1F4B40A"/>
    <w:multiLevelType w:val="hybridMultilevel"/>
    <w:tmpl w:val="2FBA7A2C"/>
    <w:lvl w:ilvl="0" w:tplc="5D0C078E">
      <w:start w:val="1"/>
      <w:numFmt w:val="bullet"/>
      <w:lvlText w:val="Ø"/>
      <w:lvlJc w:val="left"/>
      <w:pPr>
        <w:ind w:left="720" w:hanging="360"/>
      </w:pPr>
      <w:rPr>
        <w:rFonts w:hint="default" w:ascii="Wingdings" w:hAnsi="Wingdings"/>
      </w:rPr>
    </w:lvl>
    <w:lvl w:ilvl="1" w:tplc="3460D520">
      <w:start w:val="1"/>
      <w:numFmt w:val="bullet"/>
      <w:lvlText w:val="o"/>
      <w:lvlJc w:val="left"/>
      <w:pPr>
        <w:ind w:left="1440" w:hanging="360"/>
      </w:pPr>
      <w:rPr>
        <w:rFonts w:hint="default" w:ascii="Courier New" w:hAnsi="Courier New"/>
      </w:rPr>
    </w:lvl>
    <w:lvl w:ilvl="2" w:tplc="A502DABE">
      <w:start w:val="1"/>
      <w:numFmt w:val="bullet"/>
      <w:lvlText w:val=""/>
      <w:lvlJc w:val="left"/>
      <w:pPr>
        <w:ind w:left="2160" w:hanging="360"/>
      </w:pPr>
      <w:rPr>
        <w:rFonts w:hint="default" w:ascii="Wingdings" w:hAnsi="Wingdings"/>
      </w:rPr>
    </w:lvl>
    <w:lvl w:ilvl="3" w:tplc="63CE3334">
      <w:start w:val="1"/>
      <w:numFmt w:val="bullet"/>
      <w:lvlText w:val=""/>
      <w:lvlJc w:val="left"/>
      <w:pPr>
        <w:ind w:left="2880" w:hanging="360"/>
      </w:pPr>
      <w:rPr>
        <w:rFonts w:hint="default" w:ascii="Symbol" w:hAnsi="Symbol"/>
      </w:rPr>
    </w:lvl>
    <w:lvl w:ilvl="4" w:tplc="AED2286E">
      <w:start w:val="1"/>
      <w:numFmt w:val="bullet"/>
      <w:lvlText w:val="o"/>
      <w:lvlJc w:val="left"/>
      <w:pPr>
        <w:ind w:left="3600" w:hanging="360"/>
      </w:pPr>
      <w:rPr>
        <w:rFonts w:hint="default" w:ascii="Courier New" w:hAnsi="Courier New"/>
      </w:rPr>
    </w:lvl>
    <w:lvl w:ilvl="5" w:tplc="613A60AA">
      <w:start w:val="1"/>
      <w:numFmt w:val="bullet"/>
      <w:lvlText w:val=""/>
      <w:lvlJc w:val="left"/>
      <w:pPr>
        <w:ind w:left="4320" w:hanging="360"/>
      </w:pPr>
      <w:rPr>
        <w:rFonts w:hint="default" w:ascii="Wingdings" w:hAnsi="Wingdings"/>
      </w:rPr>
    </w:lvl>
    <w:lvl w:ilvl="6" w:tplc="ECDEB478">
      <w:start w:val="1"/>
      <w:numFmt w:val="bullet"/>
      <w:lvlText w:val=""/>
      <w:lvlJc w:val="left"/>
      <w:pPr>
        <w:ind w:left="5040" w:hanging="360"/>
      </w:pPr>
      <w:rPr>
        <w:rFonts w:hint="default" w:ascii="Symbol" w:hAnsi="Symbol"/>
      </w:rPr>
    </w:lvl>
    <w:lvl w:ilvl="7" w:tplc="DD7456CA">
      <w:start w:val="1"/>
      <w:numFmt w:val="bullet"/>
      <w:lvlText w:val="o"/>
      <w:lvlJc w:val="left"/>
      <w:pPr>
        <w:ind w:left="5760" w:hanging="360"/>
      </w:pPr>
      <w:rPr>
        <w:rFonts w:hint="default" w:ascii="Courier New" w:hAnsi="Courier New"/>
      </w:rPr>
    </w:lvl>
    <w:lvl w:ilvl="8" w:tplc="DC203178">
      <w:start w:val="1"/>
      <w:numFmt w:val="bullet"/>
      <w:lvlText w:val=""/>
      <w:lvlJc w:val="left"/>
      <w:pPr>
        <w:ind w:left="6480" w:hanging="360"/>
      </w:pPr>
      <w:rPr>
        <w:rFonts w:hint="default" w:ascii="Wingdings" w:hAnsi="Wingdings"/>
      </w:rPr>
    </w:lvl>
  </w:abstractNum>
  <w:abstractNum w:abstractNumId="3"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1674134E"/>
    <w:multiLevelType w:val="hybridMultilevel"/>
    <w:tmpl w:val="B5561C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4F04F9"/>
    <w:multiLevelType w:val="hybridMultilevel"/>
    <w:tmpl w:val="14BA9224"/>
    <w:lvl w:ilvl="0" w:tplc="11F690C0">
      <w:start w:val="1"/>
      <w:numFmt w:val="bullet"/>
      <w:lvlText w:val=""/>
      <w:lvlJc w:val="left"/>
      <w:pPr>
        <w:ind w:left="720" w:hanging="360"/>
      </w:pPr>
      <w:rPr>
        <w:rFonts w:hint="default" w:ascii="Symbol" w:hAnsi="Symbol"/>
      </w:rPr>
    </w:lvl>
    <w:lvl w:ilvl="1" w:tplc="C29A496C">
      <w:start w:val="1"/>
      <w:numFmt w:val="bullet"/>
      <w:lvlText w:val="o"/>
      <w:lvlJc w:val="left"/>
      <w:pPr>
        <w:ind w:left="1440" w:hanging="360"/>
      </w:pPr>
      <w:rPr>
        <w:rFonts w:hint="default" w:ascii="Courier New" w:hAnsi="Courier New"/>
      </w:rPr>
    </w:lvl>
    <w:lvl w:ilvl="2" w:tplc="229E8C7E">
      <w:start w:val="1"/>
      <w:numFmt w:val="bullet"/>
      <w:lvlText w:val=""/>
      <w:lvlJc w:val="left"/>
      <w:pPr>
        <w:ind w:left="2160" w:hanging="360"/>
      </w:pPr>
      <w:rPr>
        <w:rFonts w:hint="default" w:ascii="Wingdings" w:hAnsi="Wingdings"/>
      </w:rPr>
    </w:lvl>
    <w:lvl w:ilvl="3" w:tplc="2E9C69C4">
      <w:start w:val="1"/>
      <w:numFmt w:val="bullet"/>
      <w:lvlText w:val=""/>
      <w:lvlJc w:val="left"/>
      <w:pPr>
        <w:ind w:left="2880" w:hanging="360"/>
      </w:pPr>
      <w:rPr>
        <w:rFonts w:hint="default" w:ascii="Symbol" w:hAnsi="Symbol"/>
      </w:rPr>
    </w:lvl>
    <w:lvl w:ilvl="4" w:tplc="EE4C8E42">
      <w:start w:val="1"/>
      <w:numFmt w:val="bullet"/>
      <w:lvlText w:val="o"/>
      <w:lvlJc w:val="left"/>
      <w:pPr>
        <w:ind w:left="3600" w:hanging="360"/>
      </w:pPr>
      <w:rPr>
        <w:rFonts w:hint="default" w:ascii="Courier New" w:hAnsi="Courier New"/>
      </w:rPr>
    </w:lvl>
    <w:lvl w:ilvl="5" w:tplc="EAEE683A">
      <w:start w:val="1"/>
      <w:numFmt w:val="bullet"/>
      <w:lvlText w:val=""/>
      <w:lvlJc w:val="left"/>
      <w:pPr>
        <w:ind w:left="4320" w:hanging="360"/>
      </w:pPr>
      <w:rPr>
        <w:rFonts w:hint="default" w:ascii="Wingdings" w:hAnsi="Wingdings"/>
      </w:rPr>
    </w:lvl>
    <w:lvl w:ilvl="6" w:tplc="E39674BA">
      <w:start w:val="1"/>
      <w:numFmt w:val="bullet"/>
      <w:lvlText w:val=""/>
      <w:lvlJc w:val="left"/>
      <w:pPr>
        <w:ind w:left="5040" w:hanging="360"/>
      </w:pPr>
      <w:rPr>
        <w:rFonts w:hint="default" w:ascii="Symbol" w:hAnsi="Symbol"/>
      </w:rPr>
    </w:lvl>
    <w:lvl w:ilvl="7" w:tplc="6D76BCFE">
      <w:start w:val="1"/>
      <w:numFmt w:val="bullet"/>
      <w:lvlText w:val="o"/>
      <w:lvlJc w:val="left"/>
      <w:pPr>
        <w:ind w:left="5760" w:hanging="360"/>
      </w:pPr>
      <w:rPr>
        <w:rFonts w:hint="default" w:ascii="Courier New" w:hAnsi="Courier New"/>
      </w:rPr>
    </w:lvl>
    <w:lvl w:ilvl="8" w:tplc="0AFA958C">
      <w:start w:val="1"/>
      <w:numFmt w:val="bullet"/>
      <w:lvlText w:val=""/>
      <w:lvlJc w:val="left"/>
      <w:pPr>
        <w:ind w:left="6480" w:hanging="360"/>
      </w:pPr>
      <w:rPr>
        <w:rFonts w:hint="default" w:ascii="Wingdings" w:hAnsi="Wingdings"/>
      </w:rPr>
    </w:lvl>
  </w:abstractNum>
  <w:abstractNum w:abstractNumId="6"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7" w15:restartNumberingAfterBreak="0">
    <w:nsid w:val="33EA652D"/>
    <w:multiLevelType w:val="hybridMultilevel"/>
    <w:tmpl w:val="E8C6AE34"/>
    <w:lvl w:ilvl="0" w:tplc="FFFFFFFF">
      <w:start w:val="1"/>
      <w:numFmt w:val="bullet"/>
      <w:pStyle w:val="Listaszerbekezds"/>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1A1D2A7"/>
    <w:multiLevelType w:val="hybridMultilevel"/>
    <w:tmpl w:val="9530F54A"/>
    <w:lvl w:ilvl="0" w:tplc="BED2F530">
      <w:start w:val="1"/>
      <w:numFmt w:val="bullet"/>
      <w:lvlText w:val=""/>
      <w:lvlJc w:val="left"/>
      <w:pPr>
        <w:ind w:left="720" w:hanging="360"/>
      </w:pPr>
      <w:rPr>
        <w:rFonts w:hint="default" w:ascii="Symbol" w:hAnsi="Symbol"/>
      </w:rPr>
    </w:lvl>
    <w:lvl w:ilvl="1" w:tplc="D07EFDBA">
      <w:start w:val="1"/>
      <w:numFmt w:val="bullet"/>
      <w:lvlText w:val="o"/>
      <w:lvlJc w:val="left"/>
      <w:pPr>
        <w:ind w:left="1440" w:hanging="360"/>
      </w:pPr>
      <w:rPr>
        <w:rFonts w:hint="default" w:ascii="Courier New" w:hAnsi="Courier New"/>
      </w:rPr>
    </w:lvl>
    <w:lvl w:ilvl="2" w:tplc="6EE4AD4C">
      <w:start w:val="1"/>
      <w:numFmt w:val="bullet"/>
      <w:lvlText w:val=""/>
      <w:lvlJc w:val="left"/>
      <w:pPr>
        <w:ind w:left="2160" w:hanging="360"/>
      </w:pPr>
      <w:rPr>
        <w:rFonts w:hint="default" w:ascii="Wingdings" w:hAnsi="Wingdings"/>
      </w:rPr>
    </w:lvl>
    <w:lvl w:ilvl="3" w:tplc="C700E7C6">
      <w:start w:val="1"/>
      <w:numFmt w:val="bullet"/>
      <w:lvlText w:val=""/>
      <w:lvlJc w:val="left"/>
      <w:pPr>
        <w:ind w:left="2880" w:hanging="360"/>
      </w:pPr>
      <w:rPr>
        <w:rFonts w:hint="default" w:ascii="Symbol" w:hAnsi="Symbol"/>
      </w:rPr>
    </w:lvl>
    <w:lvl w:ilvl="4" w:tplc="4CBC4804">
      <w:start w:val="1"/>
      <w:numFmt w:val="bullet"/>
      <w:lvlText w:val="o"/>
      <w:lvlJc w:val="left"/>
      <w:pPr>
        <w:ind w:left="3600" w:hanging="360"/>
      </w:pPr>
      <w:rPr>
        <w:rFonts w:hint="default" w:ascii="Courier New" w:hAnsi="Courier New"/>
      </w:rPr>
    </w:lvl>
    <w:lvl w:ilvl="5" w:tplc="2E34D046">
      <w:start w:val="1"/>
      <w:numFmt w:val="bullet"/>
      <w:lvlText w:val=""/>
      <w:lvlJc w:val="left"/>
      <w:pPr>
        <w:ind w:left="4320" w:hanging="360"/>
      </w:pPr>
      <w:rPr>
        <w:rFonts w:hint="default" w:ascii="Wingdings" w:hAnsi="Wingdings"/>
      </w:rPr>
    </w:lvl>
    <w:lvl w:ilvl="6" w:tplc="A9B4CD88">
      <w:start w:val="1"/>
      <w:numFmt w:val="bullet"/>
      <w:lvlText w:val=""/>
      <w:lvlJc w:val="left"/>
      <w:pPr>
        <w:ind w:left="5040" w:hanging="360"/>
      </w:pPr>
      <w:rPr>
        <w:rFonts w:hint="default" w:ascii="Symbol" w:hAnsi="Symbol"/>
      </w:rPr>
    </w:lvl>
    <w:lvl w:ilvl="7" w:tplc="67CEB25A">
      <w:start w:val="1"/>
      <w:numFmt w:val="bullet"/>
      <w:lvlText w:val="o"/>
      <w:lvlJc w:val="left"/>
      <w:pPr>
        <w:ind w:left="5760" w:hanging="360"/>
      </w:pPr>
      <w:rPr>
        <w:rFonts w:hint="default" w:ascii="Courier New" w:hAnsi="Courier New"/>
      </w:rPr>
    </w:lvl>
    <w:lvl w:ilvl="8" w:tplc="C2FAAA98">
      <w:start w:val="1"/>
      <w:numFmt w:val="bullet"/>
      <w:lvlText w:val=""/>
      <w:lvlJc w:val="left"/>
      <w:pPr>
        <w:ind w:left="6480" w:hanging="360"/>
      </w:pPr>
      <w:rPr>
        <w:rFonts w:hint="default" w:ascii="Wingdings" w:hAnsi="Wingdings"/>
      </w:rPr>
    </w:lvl>
  </w:abstractNum>
  <w:abstractNum w:abstractNumId="10" w15:restartNumberingAfterBreak="0">
    <w:nsid w:val="45B21862"/>
    <w:multiLevelType w:val="hybridMultilevel"/>
    <w:tmpl w:val="1DBAEBB2"/>
    <w:lvl w:ilvl="0" w:tplc="AE0A527A">
      <w:start w:val="1"/>
      <w:numFmt w:val="bullet"/>
      <w:lvlText w:val=""/>
      <w:lvlJc w:val="left"/>
      <w:pPr>
        <w:ind w:left="720" w:hanging="360"/>
      </w:pPr>
      <w:rPr>
        <w:rFonts w:hint="default" w:ascii="Symbol" w:hAnsi="Symbol"/>
      </w:rPr>
    </w:lvl>
    <w:lvl w:ilvl="1" w:tplc="9D621F96">
      <w:start w:val="1"/>
      <w:numFmt w:val="bullet"/>
      <w:lvlText w:val="o"/>
      <w:lvlJc w:val="left"/>
      <w:pPr>
        <w:ind w:left="1440" w:hanging="360"/>
      </w:pPr>
      <w:rPr>
        <w:rFonts w:hint="default" w:ascii="Courier New" w:hAnsi="Courier New"/>
      </w:rPr>
    </w:lvl>
    <w:lvl w:ilvl="2" w:tplc="1548CBA0">
      <w:start w:val="1"/>
      <w:numFmt w:val="bullet"/>
      <w:lvlText w:val=""/>
      <w:lvlJc w:val="left"/>
      <w:pPr>
        <w:ind w:left="2160" w:hanging="360"/>
      </w:pPr>
      <w:rPr>
        <w:rFonts w:hint="default" w:ascii="Wingdings" w:hAnsi="Wingdings"/>
      </w:rPr>
    </w:lvl>
    <w:lvl w:ilvl="3" w:tplc="3F3C4FB2">
      <w:start w:val="1"/>
      <w:numFmt w:val="bullet"/>
      <w:lvlText w:val=""/>
      <w:lvlJc w:val="left"/>
      <w:pPr>
        <w:ind w:left="2880" w:hanging="360"/>
      </w:pPr>
      <w:rPr>
        <w:rFonts w:hint="default" w:ascii="Symbol" w:hAnsi="Symbol"/>
      </w:rPr>
    </w:lvl>
    <w:lvl w:ilvl="4" w:tplc="E5B4D998">
      <w:start w:val="1"/>
      <w:numFmt w:val="bullet"/>
      <w:lvlText w:val="o"/>
      <w:lvlJc w:val="left"/>
      <w:pPr>
        <w:ind w:left="3600" w:hanging="360"/>
      </w:pPr>
      <w:rPr>
        <w:rFonts w:hint="default" w:ascii="Courier New" w:hAnsi="Courier New"/>
      </w:rPr>
    </w:lvl>
    <w:lvl w:ilvl="5" w:tplc="15CA64BE">
      <w:start w:val="1"/>
      <w:numFmt w:val="bullet"/>
      <w:lvlText w:val=""/>
      <w:lvlJc w:val="left"/>
      <w:pPr>
        <w:ind w:left="4320" w:hanging="360"/>
      </w:pPr>
      <w:rPr>
        <w:rFonts w:hint="default" w:ascii="Wingdings" w:hAnsi="Wingdings"/>
      </w:rPr>
    </w:lvl>
    <w:lvl w:ilvl="6" w:tplc="663EE708">
      <w:start w:val="1"/>
      <w:numFmt w:val="bullet"/>
      <w:lvlText w:val=""/>
      <w:lvlJc w:val="left"/>
      <w:pPr>
        <w:ind w:left="5040" w:hanging="360"/>
      </w:pPr>
      <w:rPr>
        <w:rFonts w:hint="default" w:ascii="Symbol" w:hAnsi="Symbol"/>
      </w:rPr>
    </w:lvl>
    <w:lvl w:ilvl="7" w:tplc="A44A1636">
      <w:start w:val="1"/>
      <w:numFmt w:val="bullet"/>
      <w:lvlText w:val="o"/>
      <w:lvlJc w:val="left"/>
      <w:pPr>
        <w:ind w:left="5760" w:hanging="360"/>
      </w:pPr>
      <w:rPr>
        <w:rFonts w:hint="default" w:ascii="Courier New" w:hAnsi="Courier New"/>
      </w:rPr>
    </w:lvl>
    <w:lvl w:ilvl="8" w:tplc="9590249C">
      <w:start w:val="1"/>
      <w:numFmt w:val="bullet"/>
      <w:lvlText w:val=""/>
      <w:lvlJc w:val="left"/>
      <w:pPr>
        <w:ind w:left="6480" w:hanging="360"/>
      </w:pPr>
      <w:rPr>
        <w:rFonts w:hint="default" w:ascii="Wingdings" w:hAnsi="Wingdings"/>
      </w:rPr>
    </w:lvl>
  </w:abstractNum>
  <w:abstractNum w:abstractNumId="11" w15:restartNumberingAfterBreak="0">
    <w:nsid w:val="4F5FAE86"/>
    <w:multiLevelType w:val="hybridMultilevel"/>
    <w:tmpl w:val="5BF09188"/>
    <w:lvl w:ilvl="0" w:tplc="B4F24764">
      <w:start w:val="1"/>
      <w:numFmt w:val="decimal"/>
      <w:lvlText w:val="%1)"/>
      <w:lvlJc w:val="left"/>
      <w:pPr>
        <w:ind w:left="720" w:hanging="360"/>
      </w:pPr>
    </w:lvl>
    <w:lvl w:ilvl="1" w:tplc="2150797C">
      <w:start w:val="1"/>
      <w:numFmt w:val="lowerLetter"/>
      <w:lvlText w:val="%2."/>
      <w:lvlJc w:val="left"/>
      <w:pPr>
        <w:ind w:left="1440" w:hanging="360"/>
      </w:pPr>
    </w:lvl>
    <w:lvl w:ilvl="2" w:tplc="0A549CE0">
      <w:start w:val="1"/>
      <w:numFmt w:val="lowerRoman"/>
      <w:lvlText w:val="%3."/>
      <w:lvlJc w:val="right"/>
      <w:pPr>
        <w:ind w:left="2160" w:hanging="180"/>
      </w:pPr>
    </w:lvl>
    <w:lvl w:ilvl="3" w:tplc="E64A3DB2">
      <w:start w:val="1"/>
      <w:numFmt w:val="decimal"/>
      <w:lvlText w:val="%4."/>
      <w:lvlJc w:val="left"/>
      <w:pPr>
        <w:ind w:left="2880" w:hanging="360"/>
      </w:pPr>
    </w:lvl>
    <w:lvl w:ilvl="4" w:tplc="6524AE24">
      <w:start w:val="1"/>
      <w:numFmt w:val="lowerLetter"/>
      <w:lvlText w:val="%5."/>
      <w:lvlJc w:val="left"/>
      <w:pPr>
        <w:ind w:left="3600" w:hanging="360"/>
      </w:pPr>
    </w:lvl>
    <w:lvl w:ilvl="5" w:tplc="45FE98F2">
      <w:start w:val="1"/>
      <w:numFmt w:val="lowerRoman"/>
      <w:lvlText w:val="%6."/>
      <w:lvlJc w:val="right"/>
      <w:pPr>
        <w:ind w:left="4320" w:hanging="180"/>
      </w:pPr>
    </w:lvl>
    <w:lvl w:ilvl="6" w:tplc="1630AEDA">
      <w:start w:val="1"/>
      <w:numFmt w:val="decimal"/>
      <w:lvlText w:val="%7."/>
      <w:lvlJc w:val="left"/>
      <w:pPr>
        <w:ind w:left="5040" w:hanging="360"/>
      </w:pPr>
    </w:lvl>
    <w:lvl w:ilvl="7" w:tplc="7750D4CA">
      <w:start w:val="1"/>
      <w:numFmt w:val="lowerLetter"/>
      <w:lvlText w:val="%8."/>
      <w:lvlJc w:val="left"/>
      <w:pPr>
        <w:ind w:left="5760" w:hanging="360"/>
      </w:pPr>
    </w:lvl>
    <w:lvl w:ilvl="8" w:tplc="F80EE202">
      <w:start w:val="1"/>
      <w:numFmt w:val="lowerRoman"/>
      <w:lvlText w:val="%9."/>
      <w:lvlJc w:val="right"/>
      <w:pPr>
        <w:ind w:left="6480" w:hanging="180"/>
      </w:pPr>
    </w:lvl>
  </w:abstractNum>
  <w:abstractNum w:abstractNumId="12" w15:restartNumberingAfterBreak="0">
    <w:nsid w:val="55AA2528"/>
    <w:multiLevelType w:val="hybridMultilevel"/>
    <w:tmpl w:val="4E9AC8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B9B593"/>
    <w:multiLevelType w:val="hybridMultilevel"/>
    <w:tmpl w:val="1396D920"/>
    <w:lvl w:ilvl="0" w:tplc="5C6E4AAA">
      <w:start w:val="1"/>
      <w:numFmt w:val="decimal"/>
      <w:lvlText w:val="%1)"/>
      <w:lvlJc w:val="left"/>
      <w:pPr>
        <w:ind w:left="720" w:hanging="360"/>
      </w:pPr>
    </w:lvl>
    <w:lvl w:ilvl="1" w:tplc="C5B6591A">
      <w:start w:val="1"/>
      <w:numFmt w:val="lowerLetter"/>
      <w:lvlText w:val="%2."/>
      <w:lvlJc w:val="left"/>
      <w:pPr>
        <w:ind w:left="1440" w:hanging="360"/>
      </w:pPr>
    </w:lvl>
    <w:lvl w:ilvl="2" w:tplc="8B62D160">
      <w:start w:val="1"/>
      <w:numFmt w:val="lowerRoman"/>
      <w:lvlText w:val="%3."/>
      <w:lvlJc w:val="right"/>
      <w:pPr>
        <w:ind w:left="2160" w:hanging="180"/>
      </w:pPr>
    </w:lvl>
    <w:lvl w:ilvl="3" w:tplc="D2A21702">
      <w:start w:val="1"/>
      <w:numFmt w:val="decimal"/>
      <w:lvlText w:val="%4."/>
      <w:lvlJc w:val="left"/>
      <w:pPr>
        <w:ind w:left="2880" w:hanging="360"/>
      </w:pPr>
    </w:lvl>
    <w:lvl w:ilvl="4" w:tplc="15221D14">
      <w:start w:val="1"/>
      <w:numFmt w:val="lowerLetter"/>
      <w:lvlText w:val="%5."/>
      <w:lvlJc w:val="left"/>
      <w:pPr>
        <w:ind w:left="3600" w:hanging="360"/>
      </w:pPr>
    </w:lvl>
    <w:lvl w:ilvl="5" w:tplc="DC542230">
      <w:start w:val="1"/>
      <w:numFmt w:val="lowerRoman"/>
      <w:lvlText w:val="%6."/>
      <w:lvlJc w:val="right"/>
      <w:pPr>
        <w:ind w:left="4320" w:hanging="180"/>
      </w:pPr>
    </w:lvl>
    <w:lvl w:ilvl="6" w:tplc="08308156">
      <w:start w:val="1"/>
      <w:numFmt w:val="decimal"/>
      <w:lvlText w:val="%7."/>
      <w:lvlJc w:val="left"/>
      <w:pPr>
        <w:ind w:left="5040" w:hanging="360"/>
      </w:pPr>
    </w:lvl>
    <w:lvl w:ilvl="7" w:tplc="35045086">
      <w:start w:val="1"/>
      <w:numFmt w:val="lowerLetter"/>
      <w:lvlText w:val="%8."/>
      <w:lvlJc w:val="left"/>
      <w:pPr>
        <w:ind w:left="5760" w:hanging="360"/>
      </w:pPr>
    </w:lvl>
    <w:lvl w:ilvl="8" w:tplc="80525B76">
      <w:start w:val="1"/>
      <w:numFmt w:val="lowerRoman"/>
      <w:lvlText w:val="%9."/>
      <w:lvlJc w:val="right"/>
      <w:pPr>
        <w:ind w:left="6480" w:hanging="180"/>
      </w:pPr>
    </w:lvl>
  </w:abstractNum>
  <w:abstractNum w:abstractNumId="14" w15:restartNumberingAfterBreak="0">
    <w:nsid w:val="6FE51D4B"/>
    <w:multiLevelType w:val="hybridMultilevel"/>
    <w:tmpl w:val="C4CC4740"/>
    <w:lvl w:ilvl="0" w:tplc="D2327B0C">
      <w:start w:val="1"/>
      <w:numFmt w:val="bullet"/>
      <w:lvlText w:val=""/>
      <w:lvlJc w:val="left"/>
      <w:pPr>
        <w:ind w:left="720" w:hanging="360"/>
      </w:pPr>
      <w:rPr>
        <w:rFonts w:hint="default" w:ascii="Symbol" w:hAnsi="Symbol"/>
      </w:rPr>
    </w:lvl>
    <w:lvl w:ilvl="1" w:tplc="E4342B3C">
      <w:start w:val="1"/>
      <w:numFmt w:val="bullet"/>
      <w:lvlText w:val="o"/>
      <w:lvlJc w:val="left"/>
      <w:pPr>
        <w:ind w:left="1440" w:hanging="360"/>
      </w:pPr>
      <w:rPr>
        <w:rFonts w:hint="default" w:ascii="Courier New" w:hAnsi="Courier New"/>
      </w:rPr>
    </w:lvl>
    <w:lvl w:ilvl="2" w:tplc="E2DEE0D0">
      <w:start w:val="1"/>
      <w:numFmt w:val="bullet"/>
      <w:lvlText w:val=""/>
      <w:lvlJc w:val="left"/>
      <w:pPr>
        <w:ind w:left="2160" w:hanging="360"/>
      </w:pPr>
      <w:rPr>
        <w:rFonts w:hint="default" w:ascii="Wingdings" w:hAnsi="Wingdings"/>
      </w:rPr>
    </w:lvl>
    <w:lvl w:ilvl="3" w:tplc="323A576E">
      <w:start w:val="1"/>
      <w:numFmt w:val="bullet"/>
      <w:lvlText w:val=""/>
      <w:lvlJc w:val="left"/>
      <w:pPr>
        <w:ind w:left="2880" w:hanging="360"/>
      </w:pPr>
      <w:rPr>
        <w:rFonts w:hint="default" w:ascii="Symbol" w:hAnsi="Symbol"/>
      </w:rPr>
    </w:lvl>
    <w:lvl w:ilvl="4" w:tplc="9180471A">
      <w:start w:val="1"/>
      <w:numFmt w:val="bullet"/>
      <w:lvlText w:val="o"/>
      <w:lvlJc w:val="left"/>
      <w:pPr>
        <w:ind w:left="3600" w:hanging="360"/>
      </w:pPr>
      <w:rPr>
        <w:rFonts w:hint="default" w:ascii="Courier New" w:hAnsi="Courier New"/>
      </w:rPr>
    </w:lvl>
    <w:lvl w:ilvl="5" w:tplc="25188040">
      <w:start w:val="1"/>
      <w:numFmt w:val="bullet"/>
      <w:lvlText w:val=""/>
      <w:lvlJc w:val="left"/>
      <w:pPr>
        <w:ind w:left="4320" w:hanging="360"/>
      </w:pPr>
      <w:rPr>
        <w:rFonts w:hint="default" w:ascii="Wingdings" w:hAnsi="Wingdings"/>
      </w:rPr>
    </w:lvl>
    <w:lvl w:ilvl="6" w:tplc="8494AB42">
      <w:start w:val="1"/>
      <w:numFmt w:val="bullet"/>
      <w:lvlText w:val=""/>
      <w:lvlJc w:val="left"/>
      <w:pPr>
        <w:ind w:left="5040" w:hanging="360"/>
      </w:pPr>
      <w:rPr>
        <w:rFonts w:hint="default" w:ascii="Symbol" w:hAnsi="Symbol"/>
      </w:rPr>
    </w:lvl>
    <w:lvl w:ilvl="7" w:tplc="9CE200EC">
      <w:start w:val="1"/>
      <w:numFmt w:val="bullet"/>
      <w:lvlText w:val="o"/>
      <w:lvlJc w:val="left"/>
      <w:pPr>
        <w:ind w:left="5760" w:hanging="360"/>
      </w:pPr>
      <w:rPr>
        <w:rFonts w:hint="default" w:ascii="Courier New" w:hAnsi="Courier New"/>
      </w:rPr>
    </w:lvl>
    <w:lvl w:ilvl="8" w:tplc="DC14885A">
      <w:start w:val="1"/>
      <w:numFmt w:val="bullet"/>
      <w:lvlText w:val=""/>
      <w:lvlJc w:val="left"/>
      <w:pPr>
        <w:ind w:left="6480" w:hanging="360"/>
      </w:pPr>
      <w:rPr>
        <w:rFonts w:hint="default" w:ascii="Wingdings" w:hAnsi="Wingdings"/>
      </w:rPr>
    </w:lvl>
  </w:abstractNum>
  <w:abstractNum w:abstractNumId="15" w15:restartNumberingAfterBreak="0">
    <w:nsid w:val="793C137B"/>
    <w:multiLevelType w:val="hybridMultilevel"/>
    <w:tmpl w:val="D6A621C2"/>
    <w:lvl w:ilvl="0" w:tplc="99BA1EEA">
      <w:start w:val="1"/>
      <w:numFmt w:val="bullet"/>
      <w:lvlText w:val="Ø"/>
      <w:lvlJc w:val="left"/>
      <w:pPr>
        <w:ind w:left="720" w:hanging="360"/>
      </w:pPr>
      <w:rPr>
        <w:rFonts w:hint="default" w:ascii="Wingdings" w:hAnsi="Wingdings"/>
      </w:rPr>
    </w:lvl>
    <w:lvl w:ilvl="1" w:tplc="444ECAE4">
      <w:start w:val="1"/>
      <w:numFmt w:val="bullet"/>
      <w:lvlText w:val="o"/>
      <w:lvlJc w:val="left"/>
      <w:pPr>
        <w:ind w:left="1440" w:hanging="360"/>
      </w:pPr>
      <w:rPr>
        <w:rFonts w:hint="default" w:ascii="Courier New" w:hAnsi="Courier New"/>
      </w:rPr>
    </w:lvl>
    <w:lvl w:ilvl="2" w:tplc="4C7495C2">
      <w:start w:val="1"/>
      <w:numFmt w:val="bullet"/>
      <w:lvlText w:val=""/>
      <w:lvlJc w:val="left"/>
      <w:pPr>
        <w:ind w:left="2160" w:hanging="360"/>
      </w:pPr>
      <w:rPr>
        <w:rFonts w:hint="default" w:ascii="Wingdings" w:hAnsi="Wingdings"/>
      </w:rPr>
    </w:lvl>
    <w:lvl w:ilvl="3" w:tplc="C770D040">
      <w:start w:val="1"/>
      <w:numFmt w:val="bullet"/>
      <w:lvlText w:val=""/>
      <w:lvlJc w:val="left"/>
      <w:pPr>
        <w:ind w:left="2880" w:hanging="360"/>
      </w:pPr>
      <w:rPr>
        <w:rFonts w:hint="default" w:ascii="Symbol" w:hAnsi="Symbol"/>
      </w:rPr>
    </w:lvl>
    <w:lvl w:ilvl="4" w:tplc="E216073A">
      <w:start w:val="1"/>
      <w:numFmt w:val="bullet"/>
      <w:lvlText w:val="o"/>
      <w:lvlJc w:val="left"/>
      <w:pPr>
        <w:ind w:left="3600" w:hanging="360"/>
      </w:pPr>
      <w:rPr>
        <w:rFonts w:hint="default" w:ascii="Courier New" w:hAnsi="Courier New"/>
      </w:rPr>
    </w:lvl>
    <w:lvl w:ilvl="5" w:tplc="9BC8B5A6">
      <w:start w:val="1"/>
      <w:numFmt w:val="bullet"/>
      <w:lvlText w:val=""/>
      <w:lvlJc w:val="left"/>
      <w:pPr>
        <w:ind w:left="4320" w:hanging="360"/>
      </w:pPr>
      <w:rPr>
        <w:rFonts w:hint="default" w:ascii="Wingdings" w:hAnsi="Wingdings"/>
      </w:rPr>
    </w:lvl>
    <w:lvl w:ilvl="6" w:tplc="33CEE01E">
      <w:start w:val="1"/>
      <w:numFmt w:val="bullet"/>
      <w:lvlText w:val=""/>
      <w:lvlJc w:val="left"/>
      <w:pPr>
        <w:ind w:left="5040" w:hanging="360"/>
      </w:pPr>
      <w:rPr>
        <w:rFonts w:hint="default" w:ascii="Symbol" w:hAnsi="Symbol"/>
      </w:rPr>
    </w:lvl>
    <w:lvl w:ilvl="7" w:tplc="605E7B5C">
      <w:start w:val="1"/>
      <w:numFmt w:val="bullet"/>
      <w:lvlText w:val="o"/>
      <w:lvlJc w:val="left"/>
      <w:pPr>
        <w:ind w:left="5760" w:hanging="360"/>
      </w:pPr>
      <w:rPr>
        <w:rFonts w:hint="default" w:ascii="Courier New" w:hAnsi="Courier New"/>
      </w:rPr>
    </w:lvl>
    <w:lvl w:ilvl="8" w:tplc="0742D9DC">
      <w:start w:val="1"/>
      <w:numFmt w:val="bullet"/>
      <w:lvlText w:val=""/>
      <w:lvlJc w:val="left"/>
      <w:pPr>
        <w:ind w:left="6480" w:hanging="360"/>
      </w:pPr>
      <w:rPr>
        <w:rFonts w:hint="default" w:ascii="Wingdings" w:hAnsi="Wingdings"/>
      </w:rPr>
    </w:lvl>
  </w:abstractNum>
  <w:abstractNum w:abstractNumId="16" w15:restartNumberingAfterBreak="0">
    <w:nsid w:val="7C6D2AC3"/>
    <w:multiLevelType w:val="hybridMultilevel"/>
    <w:tmpl w:val="C7BE5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21">
    <w:abstractNumId w:val="20"/>
  </w:num>
  <w:num w:numId="20">
    <w:abstractNumId w:val="19"/>
  </w:num>
  <w:num w:numId="19">
    <w:abstractNumId w:val="18"/>
  </w:num>
  <w:num w:numId="18">
    <w:abstractNumId w:val="17"/>
  </w:num>
  <w:num w:numId="1" w16cid:durableId="1323434446">
    <w:abstractNumId w:val="11"/>
  </w:num>
  <w:num w:numId="2" w16cid:durableId="382951133">
    <w:abstractNumId w:val="13"/>
  </w:num>
  <w:num w:numId="3" w16cid:durableId="524713554">
    <w:abstractNumId w:val="2"/>
  </w:num>
  <w:num w:numId="4" w16cid:durableId="963653511">
    <w:abstractNumId w:val="5"/>
  </w:num>
  <w:num w:numId="5" w16cid:durableId="1876886345">
    <w:abstractNumId w:val="15"/>
  </w:num>
  <w:num w:numId="6" w16cid:durableId="1286619194">
    <w:abstractNumId w:val="10"/>
  </w:num>
  <w:num w:numId="7" w16cid:durableId="1139495364">
    <w:abstractNumId w:val="9"/>
  </w:num>
  <w:num w:numId="8" w16cid:durableId="1022319314">
    <w:abstractNumId w:val="14"/>
  </w:num>
  <w:num w:numId="9" w16cid:durableId="1449081146">
    <w:abstractNumId w:val="0"/>
  </w:num>
  <w:num w:numId="10" w16cid:durableId="1306549568">
    <w:abstractNumId w:val="1"/>
  </w:num>
  <w:num w:numId="11" w16cid:durableId="1666934881">
    <w:abstractNumId w:val="3"/>
  </w:num>
  <w:num w:numId="12" w16cid:durableId="91125233">
    <w:abstractNumId w:val="7"/>
  </w:num>
  <w:num w:numId="13" w16cid:durableId="2060471459">
    <w:abstractNumId w:val="6"/>
  </w:num>
  <w:num w:numId="14" w16cid:durableId="416245481">
    <w:abstractNumId w:val="12"/>
  </w:num>
  <w:num w:numId="15" w16cid:durableId="1845508046">
    <w:abstractNumId w:val="4"/>
  </w:num>
  <w:num w:numId="16" w16cid:durableId="735664676">
    <w:abstractNumId w:val="16"/>
  </w:num>
  <w:num w:numId="17" w16cid:durableId="1642464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lang="en-IE"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541"/>
    <w:rsid w:val="00023DC1"/>
    <w:rsid w:val="00024CE5"/>
    <w:rsid w:val="00027FEC"/>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77446"/>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0F70A1"/>
    <w:rsid w:val="00100ADC"/>
    <w:rsid w:val="00101424"/>
    <w:rsid w:val="001019EC"/>
    <w:rsid w:val="001131A3"/>
    <w:rsid w:val="0011509D"/>
    <w:rsid w:val="001163B8"/>
    <w:rsid w:val="00116AB3"/>
    <w:rsid w:val="00116AF0"/>
    <w:rsid w:val="00117487"/>
    <w:rsid w:val="001206B9"/>
    <w:rsid w:val="0012099C"/>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395"/>
    <w:rsid w:val="001C1A50"/>
    <w:rsid w:val="001C1AF1"/>
    <w:rsid w:val="001C1E82"/>
    <w:rsid w:val="001C665E"/>
    <w:rsid w:val="001C77D2"/>
    <w:rsid w:val="001D1D46"/>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1B1D"/>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0EE0"/>
    <w:rsid w:val="00252D99"/>
    <w:rsid w:val="0025309B"/>
    <w:rsid w:val="00253F52"/>
    <w:rsid w:val="00260028"/>
    <w:rsid w:val="00261922"/>
    <w:rsid w:val="00262B22"/>
    <w:rsid w:val="00264ACC"/>
    <w:rsid w:val="00265F6E"/>
    <w:rsid w:val="00266745"/>
    <w:rsid w:val="00266A96"/>
    <w:rsid w:val="00266B01"/>
    <w:rsid w:val="00271D49"/>
    <w:rsid w:val="00272671"/>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3CEE"/>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36E"/>
    <w:rsid w:val="00495854"/>
    <w:rsid w:val="00496E5B"/>
    <w:rsid w:val="004A5D49"/>
    <w:rsid w:val="004A6790"/>
    <w:rsid w:val="004A71AD"/>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14F4"/>
    <w:rsid w:val="004E2B1F"/>
    <w:rsid w:val="004E454D"/>
    <w:rsid w:val="004E52A6"/>
    <w:rsid w:val="004E57C2"/>
    <w:rsid w:val="004E7E15"/>
    <w:rsid w:val="004F34DD"/>
    <w:rsid w:val="004F4AA5"/>
    <w:rsid w:val="004F4E50"/>
    <w:rsid w:val="004F6406"/>
    <w:rsid w:val="004F651E"/>
    <w:rsid w:val="00505D0B"/>
    <w:rsid w:val="005157F8"/>
    <w:rsid w:val="00516866"/>
    <w:rsid w:val="00516BEC"/>
    <w:rsid w:val="005173BA"/>
    <w:rsid w:val="00520329"/>
    <w:rsid w:val="005240DC"/>
    <w:rsid w:val="00524683"/>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222"/>
    <w:rsid w:val="00587A82"/>
    <w:rsid w:val="005905ED"/>
    <w:rsid w:val="00590E15"/>
    <w:rsid w:val="00594545"/>
    <w:rsid w:val="00595CD1"/>
    <w:rsid w:val="0059688D"/>
    <w:rsid w:val="00597358"/>
    <w:rsid w:val="005977EB"/>
    <w:rsid w:val="0059783C"/>
    <w:rsid w:val="005A076A"/>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52E"/>
    <w:rsid w:val="00632A66"/>
    <w:rsid w:val="006341EB"/>
    <w:rsid w:val="006376B1"/>
    <w:rsid w:val="0063771F"/>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31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46E21"/>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167B"/>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2E3C"/>
    <w:rsid w:val="0087347C"/>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6EBD"/>
    <w:rsid w:val="00A272E5"/>
    <w:rsid w:val="00A277CD"/>
    <w:rsid w:val="00A27CA1"/>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5A4EE"/>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4994"/>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23C"/>
    <w:rsid w:val="00BA1833"/>
    <w:rsid w:val="00BA1B14"/>
    <w:rsid w:val="00BA1CA6"/>
    <w:rsid w:val="00BA310B"/>
    <w:rsid w:val="00BA3911"/>
    <w:rsid w:val="00BA731A"/>
    <w:rsid w:val="00BB10C7"/>
    <w:rsid w:val="00BB1DD4"/>
    <w:rsid w:val="00BB5515"/>
    <w:rsid w:val="00BB57A9"/>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0E0"/>
    <w:rsid w:val="00CE7987"/>
    <w:rsid w:val="00CF06EE"/>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54188"/>
    <w:rsid w:val="00D638C1"/>
    <w:rsid w:val="00D67FA0"/>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4CC"/>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82A"/>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818"/>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4AFA"/>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162EE"/>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4264"/>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275277F"/>
    <w:rsid w:val="0337AEE3"/>
    <w:rsid w:val="03D1E99D"/>
    <w:rsid w:val="04A132EC"/>
    <w:rsid w:val="05BBF3CA"/>
    <w:rsid w:val="06328981"/>
    <w:rsid w:val="06A36541"/>
    <w:rsid w:val="078C19D1"/>
    <w:rsid w:val="07FB5893"/>
    <w:rsid w:val="08A9DCEC"/>
    <w:rsid w:val="08E20653"/>
    <w:rsid w:val="08FF82AA"/>
    <w:rsid w:val="0A478607"/>
    <w:rsid w:val="0EF847BD"/>
    <w:rsid w:val="1056CD3B"/>
    <w:rsid w:val="1206729B"/>
    <w:rsid w:val="13A7972D"/>
    <w:rsid w:val="14BD641E"/>
    <w:rsid w:val="150BEB0C"/>
    <w:rsid w:val="15184F9D"/>
    <w:rsid w:val="1712EE10"/>
    <w:rsid w:val="186BA0BC"/>
    <w:rsid w:val="18728DE7"/>
    <w:rsid w:val="1B71AFF0"/>
    <w:rsid w:val="2A056BA6"/>
    <w:rsid w:val="2C383192"/>
    <w:rsid w:val="2D0E8A79"/>
    <w:rsid w:val="2F56F7B2"/>
    <w:rsid w:val="30539578"/>
    <w:rsid w:val="330C4A78"/>
    <w:rsid w:val="33722880"/>
    <w:rsid w:val="3442D4AC"/>
    <w:rsid w:val="350BE172"/>
    <w:rsid w:val="353D789D"/>
    <w:rsid w:val="35BA0DD8"/>
    <w:rsid w:val="368B2507"/>
    <w:rsid w:val="37F2883E"/>
    <w:rsid w:val="3946F685"/>
    <w:rsid w:val="39F8A7DF"/>
    <w:rsid w:val="3A72A992"/>
    <w:rsid w:val="3D3D809A"/>
    <w:rsid w:val="3D981E1E"/>
    <w:rsid w:val="40DEDE49"/>
    <w:rsid w:val="4111B396"/>
    <w:rsid w:val="418B4A05"/>
    <w:rsid w:val="42EBDE4D"/>
    <w:rsid w:val="43F8EDFD"/>
    <w:rsid w:val="46655C65"/>
    <w:rsid w:val="47911D65"/>
    <w:rsid w:val="47F38FE6"/>
    <w:rsid w:val="4A15EC48"/>
    <w:rsid w:val="4B871C0C"/>
    <w:rsid w:val="4C36C1AF"/>
    <w:rsid w:val="4C729C82"/>
    <w:rsid w:val="4E254F5D"/>
    <w:rsid w:val="4E2EA32C"/>
    <w:rsid w:val="4F7B3265"/>
    <w:rsid w:val="52AA4229"/>
    <w:rsid w:val="53906C6C"/>
    <w:rsid w:val="54C48B70"/>
    <w:rsid w:val="54D56723"/>
    <w:rsid w:val="5521F17E"/>
    <w:rsid w:val="5906B1B4"/>
    <w:rsid w:val="598EE7ED"/>
    <w:rsid w:val="5FAAD1B6"/>
    <w:rsid w:val="60323CDF"/>
    <w:rsid w:val="6149DEF9"/>
    <w:rsid w:val="63C23343"/>
    <w:rsid w:val="66E3057A"/>
    <w:rsid w:val="68B23AC4"/>
    <w:rsid w:val="6A3B69B8"/>
    <w:rsid w:val="6B5F0224"/>
    <w:rsid w:val="71C00715"/>
    <w:rsid w:val="741C923F"/>
    <w:rsid w:val="762F2B4E"/>
    <w:rsid w:val="76E6E2AF"/>
    <w:rsid w:val="76F534AC"/>
    <w:rsid w:val="785A7BF0"/>
    <w:rsid w:val="79707633"/>
    <w:rsid w:val="799E5D96"/>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 w:default="1">
    <w:name w:val="Normal"/>
    <w:qFormat/>
    <w:rsid w:val="00B53F9D"/>
    <w:pPr>
      <w:spacing w:after="0" w:line="312" w:lineRule="auto"/>
      <w:jc w:val="both"/>
    </w:pPr>
    <w:rPr>
      <w:rFonts w:ascii="Arial" w:hAnsi="Arial" w:eastAsiaTheme="minorEastAsia"/>
      <w:sz w:val="20"/>
      <w:szCs w:val="20"/>
    </w:rPr>
  </w:style>
  <w:style w:type="paragraph" w:styleId="Cmsor1">
    <w:name w:val="heading 1"/>
    <w:basedOn w:val="Norml"/>
    <w:next w:val="Norml"/>
    <w:link w:val="Cmsor1Char"/>
    <w:qFormat/>
    <w:rsid w:val="00544905"/>
    <w:pPr>
      <w:keepNext/>
      <w:numPr>
        <w:numId w:val="10"/>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Cmsor2">
    <w:name w:val="heading 2"/>
    <w:basedOn w:val="Cmsor1"/>
    <w:next w:val="Norml"/>
    <w:link w:val="Cmsor2Char"/>
    <w:qFormat/>
    <w:rsid w:val="00544905"/>
    <w:pPr>
      <w:numPr>
        <w:ilvl w:val="1"/>
      </w:numPr>
      <w:spacing w:before="280" w:after="120"/>
      <w:outlineLvl w:val="1"/>
    </w:pPr>
    <w:rPr>
      <w:caps w:val="0"/>
    </w:rPr>
  </w:style>
  <w:style w:type="paragraph" w:styleId="Cmsor3">
    <w:name w:val="heading 3"/>
    <w:basedOn w:val="Cmsor2"/>
    <w:next w:val="Norml"/>
    <w:link w:val="Cmsor3Char"/>
    <w:qFormat/>
    <w:rsid w:val="00544905"/>
    <w:pPr>
      <w:numPr>
        <w:ilvl w:val="2"/>
      </w:numPr>
      <w:spacing w:after="60"/>
      <w:outlineLvl w:val="2"/>
    </w:pPr>
    <w:rPr>
      <w:sz w:val="22"/>
    </w:rPr>
  </w:style>
  <w:style w:type="paragraph" w:styleId="Cmsor4">
    <w:name w:val="heading 4"/>
    <w:basedOn w:val="Cmsor3"/>
    <w:next w:val="Norml"/>
    <w:link w:val="Cmsor4Char"/>
    <w:qFormat/>
    <w:rsid w:val="00544905"/>
    <w:pPr>
      <w:numPr>
        <w:ilvl w:val="0"/>
        <w:numId w:val="0"/>
      </w:numPr>
      <w:spacing w:line="312" w:lineRule="auto"/>
      <w:outlineLvl w:val="3"/>
    </w:pPr>
    <w:rPr>
      <w:i/>
      <w:iCs/>
      <w:kern w:val="32"/>
      <w:sz w:val="20"/>
      <w:szCs w:val="28"/>
    </w:rPr>
  </w:style>
  <w:style w:type="paragraph" w:styleId="Cmsor5">
    <w:name w:val="heading 5"/>
    <w:basedOn w:val="Cmsor4"/>
    <w:next w:val="Norml"/>
    <w:link w:val="Cmsor5Char"/>
    <w:qFormat/>
    <w:rsid w:val="006712D8"/>
    <w:pPr>
      <w:outlineLvl w:val="4"/>
    </w:pPr>
    <w:rPr>
      <w:b/>
      <w:bCs/>
      <w:i w:val="0"/>
      <w:iCs w:val="0"/>
      <w:szCs w:val="26"/>
    </w:rPr>
  </w:style>
  <w:style w:type="paragraph" w:styleId="Cmsor6">
    <w:name w:val="heading 6"/>
    <w:basedOn w:val="Norml"/>
    <w:next w:val="Norml"/>
    <w:link w:val="Cmsor6Char"/>
    <w:uiPriority w:val="9"/>
    <w:unhideWhenUsed/>
    <w:rsid w:val="00544905"/>
    <w:pPr>
      <w:keepNext/>
      <w:keepLines/>
      <w:spacing w:before="200"/>
      <w:outlineLvl w:val="5"/>
    </w:pPr>
    <w:rPr>
      <w:rFonts w:eastAsiaTheme="majorEastAsia" w:cstheme="majorBidi"/>
      <w:i/>
      <w:iCs/>
    </w:rPr>
  </w:style>
  <w:style w:type="paragraph" w:styleId="Cmsor7">
    <w:name w:val="heading 7"/>
    <w:basedOn w:val="Norml"/>
    <w:next w:val="Norml"/>
    <w:link w:val="Cmsor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character" w:styleId="Cmsor1Char" w:customStyle="1">
    <w:name w:val="Címsor 1 Char"/>
    <w:basedOn w:val="Bekezdsalapbettpusa"/>
    <w:link w:val="Cmsor1"/>
    <w:rsid w:val="00544905"/>
    <w:rPr>
      <w:rFonts w:ascii="Arial" w:hAnsi="Arial" w:cs="Arial"/>
      <w:caps/>
      <w:color w:val="7F7F7F" w:themeColor="text1" w:themeTint="80"/>
      <w:sz w:val="28"/>
      <w:lang w:val="en-GB" w:eastAsia="nl-NL"/>
    </w:rPr>
  </w:style>
  <w:style w:type="character" w:styleId="Cmsor2Char" w:customStyle="1">
    <w:name w:val="Címsor 2 Char"/>
    <w:basedOn w:val="Bekezdsalapbettpusa"/>
    <w:link w:val="Cmsor2"/>
    <w:rsid w:val="00544905"/>
    <w:rPr>
      <w:rFonts w:ascii="Arial" w:hAnsi="Arial" w:cs="Arial"/>
      <w:color w:val="7F7F7F" w:themeColor="text1" w:themeTint="80"/>
      <w:sz w:val="28"/>
      <w:lang w:val="en-GB" w:eastAsia="nl-NL"/>
    </w:rPr>
  </w:style>
  <w:style w:type="character" w:styleId="Cmsor3Char" w:customStyle="1">
    <w:name w:val="Címsor 3 Char"/>
    <w:basedOn w:val="Bekezdsalapbettpusa"/>
    <w:link w:val="Cmsor3"/>
    <w:rsid w:val="00544905"/>
    <w:rPr>
      <w:rFonts w:ascii="Arial" w:hAnsi="Arial" w:cs="Arial"/>
      <w:color w:val="7F7F7F" w:themeColor="text1" w:themeTint="80"/>
      <w:lang w:val="en-GB" w:eastAsia="nl-NL"/>
    </w:rPr>
  </w:style>
  <w:style w:type="character" w:styleId="Cmsor4Char" w:customStyle="1">
    <w:name w:val="Címsor 4 Char"/>
    <w:basedOn w:val="Bekezdsalapbettpusa"/>
    <w:link w:val="Cmsor4"/>
    <w:rsid w:val="00544905"/>
    <w:rPr>
      <w:rFonts w:ascii="Arial" w:hAnsi="Arial" w:cs="Arial"/>
      <w:i/>
      <w:iCs/>
      <w:color w:val="7F7F7F" w:themeColor="text1" w:themeTint="80"/>
      <w:kern w:val="32"/>
      <w:sz w:val="20"/>
      <w:szCs w:val="28"/>
      <w:lang w:val="en-GB" w:eastAsia="nl-NL"/>
    </w:rPr>
  </w:style>
  <w:style w:type="character" w:styleId="Cmsor5Char" w:customStyle="1">
    <w:name w:val="Címsor 5 Char"/>
    <w:basedOn w:val="Bekezdsalapbettpusa"/>
    <w:link w:val="Cmsor5"/>
    <w:rsid w:val="006712D8"/>
    <w:rPr>
      <w:rFonts w:ascii="Arial" w:hAnsi="Arial" w:cs="Arial"/>
      <w:b/>
      <w:bCs/>
      <w:color w:val="7F7F7F" w:themeColor="text1" w:themeTint="80"/>
      <w:kern w:val="32"/>
      <w:sz w:val="20"/>
      <w:szCs w:val="26"/>
      <w:lang w:val="en-GB" w:eastAsia="nl-NL"/>
    </w:rPr>
  </w:style>
  <w:style w:type="character" w:styleId="Cmsor6Char" w:customStyle="1">
    <w:name w:val="Címsor 6 Char"/>
    <w:basedOn w:val="Bekezdsalapbettpusa"/>
    <w:link w:val="Cmsor6"/>
    <w:uiPriority w:val="9"/>
    <w:rsid w:val="00544905"/>
    <w:rPr>
      <w:rFonts w:ascii="Arial" w:hAnsi="Arial" w:eastAsiaTheme="majorEastAsia" w:cstheme="majorBidi"/>
      <w:i/>
      <w:iCs/>
      <w:sz w:val="20"/>
      <w:szCs w:val="20"/>
    </w:rPr>
  </w:style>
  <w:style w:type="character" w:styleId="Cmsor7Char" w:customStyle="1">
    <w:name w:val="Címsor 7 Char"/>
    <w:basedOn w:val="Bekezdsalapbettpusa"/>
    <w:link w:val="Cmsor7"/>
    <w:uiPriority w:val="9"/>
    <w:rsid w:val="00544905"/>
    <w:rPr>
      <w:rFonts w:asciiTheme="majorHAnsi" w:hAnsiTheme="majorHAnsi" w:eastAsiaTheme="majorEastAsia" w:cstheme="majorBidi"/>
      <w:i/>
      <w:iCs/>
      <w:color w:val="404040" w:themeColor="text1" w:themeTint="BF"/>
      <w:sz w:val="20"/>
      <w:szCs w:val="20"/>
    </w:rPr>
  </w:style>
  <w:style w:type="character" w:styleId="Cmsor8Char" w:customStyle="1">
    <w:name w:val="Címsor 8 Char"/>
    <w:basedOn w:val="Bekezdsalapbettpusa"/>
    <w:link w:val="Cmsor8"/>
    <w:uiPriority w:val="9"/>
    <w:semiHidden/>
    <w:rsid w:val="00544905"/>
    <w:rPr>
      <w:rFonts w:asciiTheme="majorHAnsi" w:hAnsiTheme="majorHAnsi" w:eastAsiaTheme="majorEastAsia" w:cstheme="majorBidi"/>
      <w:color w:val="404040" w:themeColor="text1" w:themeTint="BF"/>
      <w:sz w:val="20"/>
      <w:szCs w:val="20"/>
    </w:rPr>
  </w:style>
  <w:style w:type="character" w:styleId="Cmsor9Char" w:customStyle="1">
    <w:name w:val="Címsor 9 Char"/>
    <w:basedOn w:val="Bekezdsalapbettpusa"/>
    <w:link w:val="Cmsor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Felsorols"/>
    <w:link w:val="BulletPointChar"/>
    <w:autoRedefine/>
    <w:qFormat/>
    <w:rsid w:val="0035143F"/>
    <w:pPr>
      <w:numPr>
        <w:numId w:val="0"/>
      </w:numPr>
      <w:spacing w:after="200"/>
      <w:ind w:left="1080" w:hanging="360"/>
    </w:pPr>
    <w:rPr>
      <w:szCs w:val="22"/>
    </w:rPr>
  </w:style>
  <w:style w:type="paragraph" w:styleId="Felsorols">
    <w:name w:val="List Bullet"/>
    <w:basedOn w:val="Norml"/>
    <w:uiPriority w:val="99"/>
    <w:unhideWhenUsed/>
    <w:rsid w:val="00544905"/>
    <w:pPr>
      <w:numPr>
        <w:numId w:val="9"/>
      </w:numPr>
      <w:contextualSpacing/>
    </w:pPr>
  </w:style>
  <w:style w:type="character" w:styleId="BulletPointChar" w:customStyle="1">
    <w:name w:val="Bullet Point Char"/>
    <w:basedOn w:val="Bekezdsalapbettpusa"/>
    <w:link w:val="BulletPoint"/>
    <w:rsid w:val="0035143F"/>
    <w:rPr>
      <w:rFonts w:ascii="Arial" w:hAnsi="Arial" w:eastAsiaTheme="minorEastAsia"/>
      <w:sz w:val="20"/>
    </w:rPr>
  </w:style>
  <w:style w:type="paragraph" w:styleId="Kpalrs">
    <w:name w:val="caption"/>
    <w:basedOn w:val="Norml"/>
    <w:next w:val="Norml"/>
    <w:unhideWhenUsed/>
    <w:qFormat/>
    <w:rsid w:val="00544905"/>
    <w:pPr>
      <w:jc w:val="center"/>
    </w:pPr>
    <w:rPr>
      <w:bCs/>
      <w:i/>
      <w:color w:val="5F5F5F" w:themeColor="text2"/>
      <w:sz w:val="16"/>
    </w:rPr>
  </w:style>
  <w:style w:type="paragraph" w:styleId="Cm">
    <w:name w:val="Title"/>
    <w:basedOn w:val="Norml"/>
    <w:next w:val="Norml"/>
    <w:link w:val="Cm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CmChar" w:customStyle="1">
    <w:name w:val="Cím Char"/>
    <w:basedOn w:val="Bekezdsalapbettpusa"/>
    <w:link w:val="Cm"/>
    <w:uiPriority w:val="10"/>
    <w:rsid w:val="00712187"/>
    <w:rPr>
      <w:rFonts w:ascii="Arial" w:hAnsi="Arial" w:eastAsiaTheme="majorEastAsia" w:cstheme="majorBidi"/>
      <w:color w:val="0100FE"/>
      <w:spacing w:val="5"/>
      <w:kern w:val="28"/>
      <w:sz w:val="56"/>
      <w:szCs w:val="52"/>
      <w:lang w:val="en-GB"/>
    </w:rPr>
  </w:style>
  <w:style w:type="paragraph" w:styleId="Listaszerbekezds">
    <w:name w:val="List Paragraph"/>
    <w:aliases w:val="F List Paragraph,Normal bold,N Heading 3,H3,Use Case List Paragraph,Ref,Equipment,EG Bullet 1,Bullet List Paragraph,List Paragraph1,Bullet Normal,List Paragraph11,List Paragraph111,FooterText,numbered,lp1,Listenabsatz1"/>
    <w:basedOn w:val="Norml"/>
    <w:link w:val="ListaszerbekezdsChar"/>
    <w:uiPriority w:val="34"/>
    <w:qFormat/>
    <w:rsid w:val="00544905"/>
    <w:pPr>
      <w:numPr>
        <w:numId w:val="12"/>
      </w:numPr>
      <w:contextualSpacing/>
    </w:pPr>
    <w:rPr>
      <w:rFonts w:cs="Arial"/>
      <w:bCs/>
      <w:szCs w:val="22"/>
      <w:lang w:val="en-GB"/>
    </w:rPr>
  </w:style>
  <w:style w:type="character" w:styleId="ListaszerbekezdsChar" w:customStyle="1">
    <w:name w:val="Listaszerű bekezdés Char"/>
    <w:aliases w:val="F List Paragraph Char,Normal bold Char,N Heading 3 Char,H3 Char,Use Case List Paragraph Char,Ref Char,Equipment Char,EG Bullet 1 Char,Bullet List Paragraph Char,List Paragraph1 Char,Bullet Normal Char,List Paragraph11 Char"/>
    <w:basedOn w:val="Bekezdsalapbettpusa"/>
    <w:link w:val="Listaszerbekezds"/>
    <w:uiPriority w:val="1"/>
    <w:qFormat/>
    <w:locked/>
    <w:rsid w:val="00544905"/>
    <w:rPr>
      <w:rFonts w:ascii="Arial" w:hAnsi="Arial" w:cs="Arial" w:eastAsiaTheme="minorEastAsia"/>
      <w:bCs/>
      <w:sz w:val="20"/>
      <w:lang w:val="en-GB"/>
    </w:rPr>
  </w:style>
  <w:style w:type="paragraph" w:styleId="Numbering" w:customStyle="1">
    <w:name w:val="Numbering"/>
    <w:basedOn w:val="Norm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Lbjegyzetszveg">
    <w:name w:val="footnote text"/>
    <w:basedOn w:val="Norml"/>
    <w:link w:val="LbjegyzetszvegChar"/>
    <w:autoRedefine/>
    <w:rsid w:val="00544905"/>
    <w:rPr>
      <w:lang w:val="en-GB"/>
    </w:rPr>
  </w:style>
  <w:style w:type="character" w:styleId="LbjegyzetszvegChar" w:customStyle="1">
    <w:name w:val="Lábjegyzetszöveg Char"/>
    <w:basedOn w:val="Bekezdsalapbettpusa"/>
    <w:link w:val="Lbjegyzetszveg"/>
    <w:rsid w:val="00544905"/>
    <w:rPr>
      <w:rFonts w:ascii="Arial" w:hAnsi="Arial" w:eastAsiaTheme="minorEastAsia"/>
      <w:sz w:val="20"/>
      <w:szCs w:val="20"/>
      <w:lang w:val="en-GB"/>
    </w:rPr>
  </w:style>
  <w:style w:type="paragraph" w:styleId="Alcm">
    <w:name w:val="Subtitle"/>
    <w:basedOn w:val="Norml"/>
    <w:next w:val="Norml"/>
    <w:link w:val="Alcm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AlcmChar" w:customStyle="1">
    <w:name w:val="Alcím Char"/>
    <w:basedOn w:val="Bekezdsalapbettpusa"/>
    <w:link w:val="Alcm"/>
    <w:uiPriority w:val="11"/>
    <w:rsid w:val="002B27D1"/>
    <w:rPr>
      <w:rFonts w:asciiTheme="majorHAnsi" w:hAnsiTheme="majorHAnsi" w:eastAsiaTheme="majorEastAsia" w:cstheme="majorBidi"/>
      <w:i/>
      <w:iCs/>
      <w:color w:val="3366FF"/>
      <w:spacing w:val="15"/>
      <w:sz w:val="24"/>
      <w:szCs w:val="20"/>
    </w:rPr>
  </w:style>
  <w:style w:type="paragraph" w:styleId="Idzet">
    <w:name w:val="Quote"/>
    <w:basedOn w:val="Norml"/>
    <w:next w:val="Norml"/>
    <w:link w:val="IdzetChar"/>
    <w:uiPriority w:val="29"/>
    <w:qFormat/>
    <w:rsid w:val="00544905"/>
    <w:pPr>
      <w:spacing w:after="200"/>
    </w:pPr>
    <w:rPr>
      <w:i/>
      <w:iCs/>
      <w:color w:val="000000" w:themeColor="text1"/>
      <w:szCs w:val="22"/>
      <w:lang w:eastAsia="ja-JP"/>
    </w:rPr>
  </w:style>
  <w:style w:type="character" w:styleId="IdzetChar" w:customStyle="1">
    <w:name w:val="Idézet Char"/>
    <w:basedOn w:val="Bekezdsalapbettpusa"/>
    <w:link w:val="Idzet"/>
    <w:uiPriority w:val="29"/>
    <w:rsid w:val="00544905"/>
    <w:rPr>
      <w:rFonts w:ascii="Arial" w:hAnsi="Arial" w:eastAsiaTheme="minorEastAsia"/>
      <w:i/>
      <w:iCs/>
      <w:color w:val="000000" w:themeColor="text1"/>
      <w:sz w:val="20"/>
      <w:lang w:eastAsia="ja-JP"/>
    </w:rPr>
  </w:style>
  <w:style w:type="character" w:styleId="Kiemels2">
    <w:name w:val="Strong"/>
    <w:basedOn w:val="Bekezdsalapbettpusa"/>
    <w:uiPriority w:val="22"/>
    <w:qFormat/>
    <w:rsid w:val="00544905"/>
    <w:rPr>
      <w:b/>
      <w:bCs/>
    </w:rPr>
  </w:style>
  <w:style w:type="character" w:styleId="Kiemels">
    <w:name w:val="Emphasis"/>
    <w:basedOn w:val="Bekezdsalapbettpusa"/>
    <w:uiPriority w:val="20"/>
    <w:qFormat/>
    <w:rsid w:val="00544905"/>
    <w:rPr>
      <w:i/>
      <w:iCs/>
    </w:rPr>
  </w:style>
  <w:style w:type="paragraph" w:styleId="Nincstrkz">
    <w:name w:val="No Spacing"/>
    <w:link w:val="NincstrkzChar"/>
    <w:uiPriority w:val="1"/>
    <w:qFormat/>
    <w:rsid w:val="00544905"/>
    <w:pPr>
      <w:spacing w:after="0" w:line="240" w:lineRule="auto"/>
      <w:jc w:val="both"/>
    </w:pPr>
    <w:rPr>
      <w:rFonts w:ascii="Arial" w:hAnsi="Arial"/>
      <w:szCs w:val="24"/>
      <w:lang w:eastAsia="en-GB"/>
    </w:rPr>
  </w:style>
  <w:style w:type="character" w:styleId="NincstrkzChar" w:customStyle="1">
    <w:name w:val="Nincs térköz Char"/>
    <w:basedOn w:val="Bekezdsalapbettpusa"/>
    <w:link w:val="Nincstrkz"/>
    <w:uiPriority w:val="1"/>
    <w:rsid w:val="00544905"/>
    <w:rPr>
      <w:rFonts w:ascii="Arial" w:hAnsi="Arial"/>
      <w:szCs w:val="24"/>
      <w:lang w:eastAsia="en-GB"/>
    </w:rPr>
  </w:style>
  <w:style w:type="character" w:styleId="Finomkiemels">
    <w:name w:val="Subtle Emphasis"/>
    <w:basedOn w:val="Bekezdsalapbettpusa"/>
    <w:uiPriority w:val="19"/>
    <w:qFormat/>
    <w:rsid w:val="00544905"/>
    <w:rPr>
      <w:i/>
      <w:iCs/>
      <w:color w:val="808080" w:themeColor="text1" w:themeTint="7F"/>
    </w:rPr>
  </w:style>
  <w:style w:type="character" w:styleId="Finomhivatkozs">
    <w:name w:val="Subtle Reference"/>
    <w:basedOn w:val="Bekezdsalapbettpusa"/>
    <w:uiPriority w:val="31"/>
    <w:qFormat/>
    <w:rsid w:val="00544905"/>
    <w:rPr>
      <w:smallCaps/>
      <w:color w:val="0078AA" w:themeColor="accent2"/>
      <w:u w:val="single"/>
    </w:rPr>
  </w:style>
  <w:style w:type="character" w:styleId="Ershivatkozs">
    <w:name w:val="Intense Reference"/>
    <w:basedOn w:val="Bekezdsalapbettpusa"/>
    <w:uiPriority w:val="32"/>
    <w:qFormat/>
    <w:rsid w:val="00544905"/>
    <w:rPr>
      <w:b/>
      <w:bCs/>
      <w:smallCaps/>
      <w:color w:val="0078AA" w:themeColor="accent2"/>
      <w:spacing w:val="5"/>
      <w:u w:val="single"/>
    </w:rPr>
  </w:style>
  <w:style w:type="character" w:styleId="Knyvcme">
    <w:name w:val="Book Title"/>
    <w:basedOn w:val="Bekezdsalapbettpusa"/>
    <w:uiPriority w:val="33"/>
    <w:qFormat/>
    <w:rsid w:val="00544905"/>
    <w:rPr>
      <w:b/>
      <w:bCs/>
      <w:smallCaps/>
      <w:spacing w:val="5"/>
    </w:rPr>
  </w:style>
  <w:style w:type="paragraph" w:styleId="lfej">
    <w:name w:val="header"/>
    <w:basedOn w:val="Norml"/>
    <w:link w:val="lfejChar"/>
    <w:uiPriority w:val="99"/>
    <w:unhideWhenUsed/>
    <w:qFormat/>
    <w:rsid w:val="00544905"/>
    <w:pPr>
      <w:tabs>
        <w:tab w:val="center" w:pos="4680"/>
      </w:tabs>
      <w:spacing w:line="240" w:lineRule="auto"/>
      <w:ind w:right="-58"/>
      <w:jc w:val="right"/>
    </w:pPr>
    <w:rPr>
      <w:color w:val="5F5F5F" w:themeColor="text2"/>
      <w:lang w:val="en-GB"/>
    </w:rPr>
  </w:style>
  <w:style w:type="character" w:styleId="lfejChar" w:customStyle="1">
    <w:name w:val="Élőfej Char"/>
    <w:basedOn w:val="Bekezdsalapbettpusa"/>
    <w:link w:val="lfej"/>
    <w:uiPriority w:val="99"/>
    <w:rsid w:val="00544905"/>
    <w:rPr>
      <w:rFonts w:ascii="Arial" w:hAnsi="Arial" w:eastAsiaTheme="minorEastAsia"/>
      <w:color w:val="5F5F5F" w:themeColor="text2"/>
      <w:sz w:val="20"/>
      <w:szCs w:val="20"/>
      <w:lang w:val="en-GB"/>
    </w:rPr>
  </w:style>
  <w:style w:type="paragraph" w:styleId="llb">
    <w:name w:val="footer"/>
    <w:basedOn w:val="Norml"/>
    <w:link w:val="llbChar"/>
    <w:uiPriority w:val="99"/>
    <w:unhideWhenUsed/>
    <w:qFormat/>
    <w:rsid w:val="00544905"/>
    <w:pPr>
      <w:tabs>
        <w:tab w:val="center" w:pos="4680"/>
      </w:tabs>
      <w:spacing w:line="240" w:lineRule="auto"/>
      <w:ind w:right="-58"/>
      <w:jc w:val="right"/>
    </w:pPr>
    <w:rPr>
      <w:color w:val="5F5F5F" w:themeColor="text2"/>
      <w:lang w:val="en-GB"/>
    </w:rPr>
  </w:style>
  <w:style w:type="character" w:styleId="llbChar" w:customStyle="1">
    <w:name w:val="Élőláb Char"/>
    <w:basedOn w:val="Bekezdsalapbettpusa"/>
    <w:link w:val="llb"/>
    <w:uiPriority w:val="99"/>
    <w:rsid w:val="00544905"/>
    <w:rPr>
      <w:rFonts w:ascii="Arial" w:hAnsi="Arial" w:eastAsiaTheme="minorEastAsia"/>
      <w:color w:val="5F5F5F" w:themeColor="text2"/>
      <w:sz w:val="20"/>
      <w:szCs w:val="20"/>
      <w:lang w:val="en-GB"/>
    </w:rPr>
  </w:style>
  <w:style w:type="paragraph" w:styleId="TJ1">
    <w:name w:val="toc 1"/>
    <w:basedOn w:val="Norml"/>
    <w:next w:val="Norml"/>
    <w:autoRedefine/>
    <w:uiPriority w:val="39"/>
    <w:unhideWhenUsed/>
    <w:rsid w:val="00544905"/>
    <w:pPr>
      <w:spacing w:before="120"/>
      <w:jc w:val="left"/>
    </w:pPr>
    <w:rPr>
      <w:rFonts w:asciiTheme="minorHAnsi" w:hAnsiTheme="minorHAnsi" w:cstheme="minorHAnsi"/>
      <w:b/>
      <w:bCs/>
      <w:i/>
      <w:iCs/>
      <w:sz w:val="24"/>
      <w:szCs w:val="24"/>
    </w:rPr>
  </w:style>
  <w:style w:type="paragraph" w:styleId="TJ2">
    <w:name w:val="toc 2"/>
    <w:basedOn w:val="Norml"/>
    <w:next w:val="Norml"/>
    <w:autoRedefine/>
    <w:uiPriority w:val="39"/>
    <w:unhideWhenUsed/>
    <w:rsid w:val="00544905"/>
    <w:pPr>
      <w:spacing w:before="120"/>
      <w:ind w:left="200"/>
      <w:jc w:val="left"/>
    </w:pPr>
    <w:rPr>
      <w:rFonts w:asciiTheme="minorHAnsi" w:hAnsiTheme="minorHAnsi" w:cstheme="minorHAnsi"/>
      <w:b/>
      <w:bCs/>
      <w:sz w:val="22"/>
      <w:szCs w:val="22"/>
    </w:rPr>
  </w:style>
  <w:style w:type="character" w:styleId="Hiperhivatkozs">
    <w:name w:val="Hyperlink"/>
    <w:basedOn w:val="Bekezdsalapbettpusa"/>
    <w:uiPriority w:val="99"/>
    <w:unhideWhenUsed/>
    <w:rsid w:val="00544905"/>
    <w:rPr>
      <w:color w:val="3F3F3F" w:themeColor="hyperlink"/>
      <w:u w:val="single"/>
    </w:rPr>
  </w:style>
  <w:style w:type="paragraph" w:styleId="Buborkszveg">
    <w:name w:val="Balloon Text"/>
    <w:basedOn w:val="Norml"/>
    <w:link w:val="BuborkszvegChar"/>
    <w:uiPriority w:val="99"/>
    <w:semiHidden/>
    <w:unhideWhenUsed/>
    <w:rsid w:val="00544905"/>
    <w:pPr>
      <w:spacing w:line="240" w:lineRule="auto"/>
    </w:pPr>
    <w:rPr>
      <w:rFonts w:ascii="Tahoma" w:hAnsi="Tahoma" w:cs="Tahoma"/>
      <w:sz w:val="16"/>
      <w:szCs w:val="16"/>
    </w:rPr>
  </w:style>
  <w:style w:type="character" w:styleId="BuborkszvegChar" w:customStyle="1">
    <w:name w:val="Buborékszöveg Char"/>
    <w:basedOn w:val="Bekezdsalapbettpusa"/>
    <w:link w:val="Buborkszveg"/>
    <w:uiPriority w:val="99"/>
    <w:semiHidden/>
    <w:rsid w:val="00544905"/>
    <w:rPr>
      <w:rFonts w:ascii="Tahoma" w:hAnsi="Tahoma" w:cs="Tahoma" w:eastAsiaTheme="minorEastAsia"/>
      <w:sz w:val="16"/>
      <w:szCs w:val="16"/>
    </w:rPr>
  </w:style>
  <w:style w:type="table" w:styleId="Rcsostblzat">
    <w:name w:val="Table Grid"/>
    <w:basedOn w:val="Normltblzat"/>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Jegyzethivatkozs">
    <w:name w:val="annotation reference"/>
    <w:basedOn w:val="Bekezdsalapbettpusa"/>
    <w:uiPriority w:val="99"/>
    <w:semiHidden/>
    <w:unhideWhenUsed/>
    <w:rsid w:val="00544905"/>
    <w:rPr>
      <w:sz w:val="16"/>
      <w:szCs w:val="16"/>
    </w:rPr>
  </w:style>
  <w:style w:type="paragraph" w:styleId="Jegyzetszveg">
    <w:name w:val="annotation text"/>
    <w:basedOn w:val="Norml"/>
    <w:link w:val="JegyzetszvegChar"/>
    <w:uiPriority w:val="99"/>
    <w:unhideWhenUsed/>
    <w:rsid w:val="00544905"/>
    <w:pPr>
      <w:spacing w:line="240" w:lineRule="auto"/>
    </w:pPr>
  </w:style>
  <w:style w:type="character" w:styleId="JegyzetszvegChar" w:customStyle="1">
    <w:name w:val="Jegyzetszöveg Char"/>
    <w:basedOn w:val="Bekezdsalapbettpusa"/>
    <w:link w:val="Jegyzetszveg"/>
    <w:uiPriority w:val="99"/>
    <w:rsid w:val="00544905"/>
    <w:rPr>
      <w:rFonts w:ascii="Arial" w:hAnsi="Arial" w:eastAsiaTheme="minorEastAsia"/>
      <w:sz w:val="20"/>
      <w:szCs w:val="20"/>
    </w:rPr>
  </w:style>
  <w:style w:type="paragraph" w:styleId="Megjegyzstrgya">
    <w:name w:val="annotation subject"/>
    <w:basedOn w:val="Jegyzetszveg"/>
    <w:next w:val="Jegyzetszveg"/>
    <w:link w:val="MegjegyzstrgyaChar"/>
    <w:uiPriority w:val="99"/>
    <w:semiHidden/>
    <w:unhideWhenUsed/>
    <w:rsid w:val="00544905"/>
    <w:rPr>
      <w:b/>
      <w:bCs/>
    </w:rPr>
  </w:style>
  <w:style w:type="character" w:styleId="MegjegyzstrgyaChar" w:customStyle="1">
    <w:name w:val="Megjegyzés tárgya Char"/>
    <w:basedOn w:val="JegyzetszvegChar"/>
    <w:link w:val="Megjegyzstrgya"/>
    <w:uiPriority w:val="99"/>
    <w:semiHidden/>
    <w:rsid w:val="00544905"/>
    <w:rPr>
      <w:rFonts w:ascii="Arial" w:hAnsi="Arial" w:eastAsiaTheme="minorEastAsia"/>
      <w:b/>
      <w:bCs/>
      <w:sz w:val="20"/>
      <w:szCs w:val="20"/>
    </w:rPr>
  </w:style>
  <w:style w:type="paragraph" w:styleId="TJ3">
    <w:name w:val="toc 3"/>
    <w:basedOn w:val="Norml"/>
    <w:next w:val="Norml"/>
    <w:autoRedefine/>
    <w:uiPriority w:val="39"/>
    <w:unhideWhenUsed/>
    <w:rsid w:val="00FD7638"/>
    <w:pPr>
      <w:ind w:left="400"/>
      <w:jc w:val="left"/>
    </w:pPr>
    <w:rPr>
      <w:rFonts w:asciiTheme="minorHAnsi" w:hAnsiTheme="minorHAnsi" w:cstheme="minorHAnsi"/>
    </w:rPr>
  </w:style>
  <w:style w:type="paragraph" w:styleId="Vltozat">
    <w:name w:val="Revision"/>
    <w:hidden/>
    <w:uiPriority w:val="99"/>
    <w:semiHidden/>
    <w:rsid w:val="0087361D"/>
    <w:pPr>
      <w:spacing w:after="0" w:line="240" w:lineRule="auto"/>
    </w:pPr>
    <w:rPr>
      <w:rFonts w:eastAsiaTheme="minorEastAsia"/>
      <w:sz w:val="20"/>
      <w:szCs w:val="20"/>
    </w:rPr>
  </w:style>
  <w:style w:type="character" w:styleId="Oldalszm">
    <w:name w:val="page number"/>
    <w:basedOn w:val="Bekezdsalapbettpusa"/>
    <w:uiPriority w:val="99"/>
    <w:semiHidden/>
    <w:unhideWhenUsed/>
    <w:rsid w:val="00544905"/>
  </w:style>
  <w:style w:type="paragraph" w:styleId="Dokumentumtrkp">
    <w:name w:val="Document Map"/>
    <w:basedOn w:val="Norml"/>
    <w:link w:val="DokumentumtrkpChar"/>
    <w:uiPriority w:val="99"/>
    <w:semiHidden/>
    <w:unhideWhenUsed/>
    <w:rsid w:val="00544905"/>
    <w:pPr>
      <w:spacing w:line="240" w:lineRule="auto"/>
    </w:pPr>
    <w:rPr>
      <w:rFonts w:ascii="Times New Roman" w:hAnsi="Times New Roman" w:cs="Times New Roman"/>
      <w:sz w:val="24"/>
      <w:szCs w:val="24"/>
    </w:rPr>
  </w:style>
  <w:style w:type="character" w:styleId="DokumentumtrkpChar" w:customStyle="1">
    <w:name w:val="Dokumentumtérkép Char"/>
    <w:basedOn w:val="Bekezdsalapbettpusa"/>
    <w:link w:val="Dokumentumtrkp"/>
    <w:uiPriority w:val="99"/>
    <w:semiHidden/>
    <w:rsid w:val="00544905"/>
    <w:rPr>
      <w:rFonts w:ascii="Times New Roman" w:hAnsi="Times New Roman" w:cs="Times New Roman" w:eastAsiaTheme="minorEastAsia"/>
      <w:sz w:val="24"/>
      <w:szCs w:val="24"/>
    </w:rPr>
  </w:style>
  <w:style w:type="paragraph" w:styleId="TJ4">
    <w:name w:val="toc 4"/>
    <w:basedOn w:val="Norml"/>
    <w:next w:val="Norml"/>
    <w:autoRedefine/>
    <w:uiPriority w:val="39"/>
    <w:unhideWhenUsed/>
    <w:rsid w:val="00544905"/>
    <w:pPr>
      <w:ind w:left="600"/>
      <w:jc w:val="left"/>
    </w:pPr>
    <w:rPr>
      <w:rFonts w:asciiTheme="minorHAnsi" w:hAnsiTheme="minorHAnsi" w:cstheme="minorHAnsi"/>
    </w:rPr>
  </w:style>
  <w:style w:type="paragraph" w:styleId="TJ5">
    <w:name w:val="toc 5"/>
    <w:basedOn w:val="Norml"/>
    <w:next w:val="Norml"/>
    <w:autoRedefine/>
    <w:uiPriority w:val="39"/>
    <w:unhideWhenUsed/>
    <w:rsid w:val="00544905"/>
    <w:pPr>
      <w:ind w:left="800"/>
      <w:jc w:val="left"/>
    </w:pPr>
    <w:rPr>
      <w:rFonts w:asciiTheme="minorHAnsi" w:hAnsiTheme="minorHAnsi" w:cstheme="minorHAnsi"/>
    </w:rPr>
  </w:style>
  <w:style w:type="paragraph" w:styleId="TJ6">
    <w:name w:val="toc 6"/>
    <w:basedOn w:val="Norml"/>
    <w:next w:val="Norml"/>
    <w:autoRedefine/>
    <w:uiPriority w:val="39"/>
    <w:unhideWhenUsed/>
    <w:rsid w:val="00544905"/>
    <w:pPr>
      <w:ind w:left="1000"/>
      <w:jc w:val="left"/>
    </w:pPr>
    <w:rPr>
      <w:rFonts w:asciiTheme="minorHAnsi" w:hAnsiTheme="minorHAnsi" w:cstheme="minorHAnsi"/>
    </w:rPr>
  </w:style>
  <w:style w:type="paragraph" w:styleId="TJ7">
    <w:name w:val="toc 7"/>
    <w:basedOn w:val="Norml"/>
    <w:next w:val="Norml"/>
    <w:autoRedefine/>
    <w:uiPriority w:val="39"/>
    <w:unhideWhenUsed/>
    <w:rsid w:val="00544905"/>
    <w:pPr>
      <w:ind w:left="1200"/>
      <w:jc w:val="left"/>
    </w:pPr>
    <w:rPr>
      <w:rFonts w:asciiTheme="minorHAnsi" w:hAnsiTheme="minorHAnsi" w:cstheme="minorHAnsi"/>
    </w:rPr>
  </w:style>
  <w:style w:type="paragraph" w:styleId="TJ8">
    <w:name w:val="toc 8"/>
    <w:basedOn w:val="Norml"/>
    <w:next w:val="Norml"/>
    <w:autoRedefine/>
    <w:uiPriority w:val="39"/>
    <w:unhideWhenUsed/>
    <w:rsid w:val="00544905"/>
    <w:pPr>
      <w:ind w:left="1400"/>
      <w:jc w:val="left"/>
    </w:pPr>
    <w:rPr>
      <w:rFonts w:asciiTheme="minorHAnsi" w:hAnsiTheme="minorHAnsi" w:cstheme="minorHAnsi"/>
    </w:rPr>
  </w:style>
  <w:style w:type="paragraph" w:styleId="TJ9">
    <w:name w:val="toc 9"/>
    <w:basedOn w:val="Norml"/>
    <w:next w:val="Norml"/>
    <w:autoRedefine/>
    <w:uiPriority w:val="39"/>
    <w:unhideWhenUsed/>
    <w:rsid w:val="00544905"/>
    <w:pPr>
      <w:ind w:left="1600"/>
      <w:jc w:val="left"/>
    </w:pPr>
    <w:rPr>
      <w:rFonts w:asciiTheme="minorHAnsi" w:hAnsiTheme="minorHAnsi" w:cstheme="minorHAnsi"/>
    </w:rPr>
  </w:style>
  <w:style w:type="character" w:styleId="Mrltotthiperhivatkozs">
    <w:name w:val="FollowedHyperlink"/>
    <w:basedOn w:val="Bekezdsalapbettpusa"/>
    <w:uiPriority w:val="99"/>
    <w:semiHidden/>
    <w:unhideWhenUsed/>
    <w:rsid w:val="00544905"/>
    <w:rPr>
      <w:color w:val="A5A5A5" w:themeColor="followedHyperlink"/>
      <w:u w:val="single"/>
    </w:rPr>
  </w:style>
  <w:style w:type="paragraph" w:styleId="NormlWeb">
    <w:name w:val="Normal (Web)"/>
    <w:basedOn w:val="Norm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Normltblzat"/>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Bekezdsalapbettpusa"/>
    <w:uiPriority w:val="99"/>
    <w:semiHidden/>
    <w:unhideWhenUsed/>
    <w:rsid w:val="00B917C5"/>
    <w:rPr>
      <w:color w:val="808080"/>
      <w:shd w:val="clear" w:color="auto" w:fill="E6E6E6"/>
    </w:rPr>
  </w:style>
  <w:style w:type="table" w:styleId="GridTable41" w:customStyle="1">
    <w:name w:val="Grid Table 41"/>
    <w:basedOn w:val="Normltblzat"/>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Bekezdsalapbettpusa"/>
    <w:uiPriority w:val="99"/>
    <w:rsid w:val="00544905"/>
    <w:rPr>
      <w:rFonts w:cs="Times New Roman"/>
    </w:rPr>
  </w:style>
  <w:style w:type="paragraph" w:styleId="BalloonText1" w:customStyle="1">
    <w:name w:val="Balloon Text1"/>
    <w:basedOn w:val="Norml"/>
    <w:uiPriority w:val="99"/>
    <w:semiHidden/>
    <w:rsid w:val="00544905"/>
    <w:rPr>
      <w:rFonts w:ascii="Tahoma" w:hAnsi="Tahoma" w:cs="Tahoma"/>
      <w:sz w:val="16"/>
      <w:szCs w:val="16"/>
    </w:rPr>
  </w:style>
  <w:style w:type="paragraph" w:styleId="BalloonText2" w:customStyle="1">
    <w:name w:val="Balloon Text2"/>
    <w:basedOn w:val="Norml"/>
    <w:uiPriority w:val="99"/>
    <w:semiHidden/>
    <w:rsid w:val="00544905"/>
    <w:rPr>
      <w:rFonts w:ascii="Tahoma" w:hAnsi="Tahoma" w:cs="Tahoma"/>
      <w:sz w:val="16"/>
      <w:szCs w:val="16"/>
    </w:rPr>
  </w:style>
  <w:style w:type="paragraph" w:styleId="BalloonText3" w:customStyle="1">
    <w:name w:val="Balloon Text3"/>
    <w:basedOn w:val="Norml"/>
    <w:uiPriority w:val="99"/>
    <w:semiHidden/>
    <w:rsid w:val="00544905"/>
    <w:rPr>
      <w:rFonts w:ascii="Tahoma" w:hAnsi="Tahoma" w:cs="Tahoma"/>
      <w:sz w:val="16"/>
      <w:szCs w:val="16"/>
    </w:rPr>
  </w:style>
  <w:style w:type="paragraph" w:styleId="Szvegblokk">
    <w:name w:val="Block Text"/>
    <w:basedOn w:val="Norml"/>
    <w:uiPriority w:val="99"/>
    <w:rsid w:val="00544905"/>
    <w:pPr>
      <w:ind w:left="266" w:right="425"/>
    </w:pPr>
    <w:rPr>
      <w:i/>
      <w:iCs/>
      <w:color w:val="000000"/>
      <w:lang w:val="en-GB"/>
    </w:rPr>
  </w:style>
  <w:style w:type="paragraph" w:styleId="Szvegtrzs">
    <w:name w:val="Body Text"/>
    <w:basedOn w:val="Norml"/>
    <w:link w:val="SzvegtrzsChar"/>
    <w:uiPriority w:val="99"/>
    <w:rsid w:val="00544905"/>
  </w:style>
  <w:style w:type="character" w:styleId="SzvegtrzsChar" w:customStyle="1">
    <w:name w:val="Szövegtörzs Char"/>
    <w:basedOn w:val="Bekezdsalapbettpusa"/>
    <w:link w:val="Szvegtrzs"/>
    <w:uiPriority w:val="99"/>
    <w:rsid w:val="00544905"/>
    <w:rPr>
      <w:rFonts w:ascii="Arial" w:hAnsi="Arial" w:eastAsiaTheme="minorEastAsia"/>
      <w:sz w:val="20"/>
      <w:szCs w:val="20"/>
    </w:rPr>
  </w:style>
  <w:style w:type="paragraph" w:styleId="Szvegtrzs2">
    <w:name w:val="Body Text 2"/>
    <w:basedOn w:val="Norml"/>
    <w:link w:val="Szvegtrzs2Char"/>
    <w:uiPriority w:val="99"/>
    <w:rsid w:val="00544905"/>
  </w:style>
  <w:style w:type="character" w:styleId="Szvegtrzs2Char" w:customStyle="1">
    <w:name w:val="Szövegtörzs 2 Char"/>
    <w:basedOn w:val="Bekezdsalapbettpusa"/>
    <w:link w:val="Szvegtrzs2"/>
    <w:uiPriority w:val="99"/>
    <w:rsid w:val="00544905"/>
    <w:rPr>
      <w:rFonts w:ascii="Arial" w:hAnsi="Arial" w:eastAsiaTheme="minorEastAsia"/>
      <w:sz w:val="20"/>
      <w:szCs w:val="20"/>
    </w:rPr>
  </w:style>
  <w:style w:type="paragraph" w:styleId="Szvegtrzs3">
    <w:name w:val="Body Text 3"/>
    <w:basedOn w:val="Norml"/>
    <w:link w:val="Szvegtrzs3Char"/>
    <w:uiPriority w:val="99"/>
    <w:rsid w:val="00544905"/>
    <w:pPr>
      <w:jc w:val="center"/>
    </w:pPr>
    <w:rPr>
      <w:sz w:val="16"/>
      <w:szCs w:val="16"/>
    </w:rPr>
  </w:style>
  <w:style w:type="character" w:styleId="Szvegtrzs3Char" w:customStyle="1">
    <w:name w:val="Szövegtörzs 3 Char"/>
    <w:basedOn w:val="Bekezdsalapbettpusa"/>
    <w:link w:val="Szvegtrzs3"/>
    <w:uiPriority w:val="99"/>
    <w:rsid w:val="00544905"/>
    <w:rPr>
      <w:rFonts w:ascii="Arial" w:hAnsi="Arial" w:eastAsiaTheme="minorEastAsia"/>
      <w:sz w:val="16"/>
      <w:szCs w:val="16"/>
    </w:rPr>
  </w:style>
  <w:style w:type="paragraph" w:styleId="Szvegtrzsbehzssal">
    <w:name w:val="Body Text Indent"/>
    <w:basedOn w:val="Norml"/>
    <w:link w:val="SzvegtrzsbehzssalChar"/>
    <w:uiPriority w:val="99"/>
    <w:rsid w:val="00544905"/>
    <w:pPr>
      <w:spacing w:before="120"/>
      <w:ind w:left="1440"/>
      <w:outlineLvl w:val="0"/>
    </w:pPr>
  </w:style>
  <w:style w:type="character" w:styleId="SzvegtrzsbehzssalChar" w:customStyle="1">
    <w:name w:val="Szövegtörzs behúzással Char"/>
    <w:basedOn w:val="Bekezdsalapbettpusa"/>
    <w:link w:val="Szvegtrzsbehzssal"/>
    <w:uiPriority w:val="99"/>
    <w:rsid w:val="00544905"/>
    <w:rPr>
      <w:rFonts w:ascii="Arial" w:hAnsi="Arial" w:eastAsiaTheme="minorEastAsia"/>
      <w:sz w:val="20"/>
      <w:szCs w:val="20"/>
    </w:rPr>
  </w:style>
  <w:style w:type="paragraph" w:styleId="Szvegtrzsbehzssal2">
    <w:name w:val="Body Text Indent 2"/>
    <w:basedOn w:val="Norml"/>
    <w:link w:val="Szvegtrzsbehzssal2Char"/>
    <w:uiPriority w:val="99"/>
    <w:rsid w:val="00544905"/>
    <w:pPr>
      <w:spacing w:before="120"/>
      <w:ind w:left="1440"/>
      <w:outlineLvl w:val="0"/>
    </w:pPr>
  </w:style>
  <w:style w:type="character" w:styleId="Szvegtrzsbehzssal2Char" w:customStyle="1">
    <w:name w:val="Szövegtörzs behúzással 2 Char"/>
    <w:basedOn w:val="Bekezdsalapbettpusa"/>
    <w:link w:val="Szvegtrzsbehzssal2"/>
    <w:uiPriority w:val="99"/>
    <w:rsid w:val="00544905"/>
    <w:rPr>
      <w:rFonts w:ascii="Arial" w:hAnsi="Arial" w:eastAsiaTheme="minorEastAsia"/>
      <w:sz w:val="20"/>
      <w:szCs w:val="20"/>
    </w:rPr>
  </w:style>
  <w:style w:type="paragraph" w:styleId="Szvegtrzsbehzssal3">
    <w:name w:val="Body Text Indent 3"/>
    <w:basedOn w:val="Norml"/>
    <w:link w:val="Szvegtrzsbehzssal3Char"/>
    <w:uiPriority w:val="99"/>
    <w:rsid w:val="00544905"/>
    <w:pPr>
      <w:spacing w:before="120"/>
      <w:ind w:left="1440"/>
      <w:outlineLvl w:val="0"/>
    </w:pPr>
    <w:rPr>
      <w:sz w:val="16"/>
      <w:szCs w:val="16"/>
    </w:rPr>
  </w:style>
  <w:style w:type="character" w:styleId="Szvegtrzsbehzssal3Char" w:customStyle="1">
    <w:name w:val="Szövegtörzs behúzással 3 Char"/>
    <w:basedOn w:val="Bekezdsalapbettpusa"/>
    <w:link w:val="Szvegtrzsbehzssal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Jegyzetszveg"/>
    <w:next w:val="Jegyzetszveg"/>
    <w:uiPriority w:val="99"/>
    <w:semiHidden/>
    <w:rsid w:val="00544905"/>
    <w:rPr>
      <w:b/>
      <w:bCs/>
    </w:rPr>
  </w:style>
  <w:style w:type="paragraph" w:styleId="CommentSubject2" w:customStyle="1">
    <w:name w:val="Comment Subject2"/>
    <w:basedOn w:val="Jegyzetszveg"/>
    <w:next w:val="Jegyzetszveg"/>
    <w:uiPriority w:val="99"/>
    <w:semiHidden/>
    <w:rsid w:val="00544905"/>
    <w:rPr>
      <w:b/>
      <w:bCs/>
    </w:rPr>
  </w:style>
  <w:style w:type="paragraph" w:styleId="CommentSubject3" w:customStyle="1">
    <w:name w:val="Comment Subject3"/>
    <w:basedOn w:val="Jegyzetszveg"/>
    <w:next w:val="Jegyzetszveg"/>
    <w:uiPriority w:val="99"/>
    <w:semiHidden/>
    <w:rsid w:val="00544905"/>
    <w:rPr>
      <w:b/>
      <w:bCs/>
    </w:rPr>
  </w:style>
  <w:style w:type="paragraph" w:styleId="CommentSubject4" w:customStyle="1">
    <w:name w:val="Comment Subject4"/>
    <w:basedOn w:val="Jegyzetszveg"/>
    <w:next w:val="Jegyzetszveg"/>
    <w:uiPriority w:val="99"/>
    <w:semiHidden/>
    <w:rsid w:val="00544905"/>
    <w:rPr>
      <w:b/>
      <w:bCs/>
    </w:rPr>
  </w:style>
  <w:style w:type="paragraph" w:styleId="CommentSubject5" w:customStyle="1">
    <w:name w:val="Comment Subject5"/>
    <w:basedOn w:val="Jegyzetszveg"/>
    <w:next w:val="Jegyzetszveg"/>
    <w:uiPriority w:val="99"/>
    <w:semiHidden/>
    <w:rsid w:val="00544905"/>
    <w:rPr>
      <w:b/>
      <w:bCs/>
    </w:rPr>
  </w:style>
  <w:style w:type="paragraph" w:styleId="Dtum">
    <w:name w:val="Date"/>
    <w:basedOn w:val="Norml"/>
    <w:next w:val="Norml"/>
    <w:link w:val="DtumChar"/>
    <w:uiPriority w:val="99"/>
    <w:unhideWhenUsed/>
    <w:rsid w:val="00544905"/>
  </w:style>
  <w:style w:type="character" w:styleId="DtumChar" w:customStyle="1">
    <w:name w:val="Dátum Char"/>
    <w:basedOn w:val="Bekezdsalapbettpusa"/>
    <w:link w:val="Dtum"/>
    <w:uiPriority w:val="99"/>
    <w:rsid w:val="00544905"/>
    <w:rPr>
      <w:rFonts w:ascii="Arial" w:hAnsi="Arial" w:eastAsiaTheme="minorEastAsia"/>
      <w:sz w:val="20"/>
      <w:szCs w:val="20"/>
    </w:rPr>
  </w:style>
  <w:style w:type="table" w:styleId="TableauGrille41" w:customStyle="1">
    <w:name w:val="Tableau Grille 41"/>
    <w:basedOn w:val="Normltblzat"/>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l"/>
    <w:link w:val="HelleListe-Akzent51Char"/>
    <w:uiPriority w:val="34"/>
    <w:qFormat/>
    <w:rsid w:val="00544905"/>
    <w:pPr>
      <w:numPr>
        <w:numId w:val="11"/>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Jegyzetszveg"/>
    <w:next w:val="Jegyzetszveg"/>
    <w:uiPriority w:val="99"/>
    <w:semiHidden/>
    <w:rsid w:val="00544905"/>
    <w:rPr>
      <w:b/>
      <w:bCs/>
    </w:rPr>
  </w:style>
  <w:style w:type="table" w:styleId="TableauListe1Clair1" w:customStyle="1">
    <w:name w:val="Tableau Liste 1 Clair1"/>
    <w:basedOn w:val="Normltblzat"/>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l"/>
    <w:uiPriority w:val="99"/>
    <w:rsid w:val="00544905"/>
    <w:pPr>
      <w:ind w:left="720"/>
    </w:pPr>
    <w:rPr>
      <w:rFonts w:ascii="Trebuchet MS" w:hAnsi="Trebuchet MS"/>
    </w:rPr>
  </w:style>
  <w:style w:type="paragraph" w:styleId="Sprechblasentext1" w:customStyle="1">
    <w:name w:val="Sprechblasentext1"/>
    <w:basedOn w:val="Norml"/>
    <w:uiPriority w:val="99"/>
    <w:semiHidden/>
    <w:rsid w:val="00544905"/>
    <w:rPr>
      <w:rFonts w:ascii="Tahoma" w:hAnsi="Tahoma" w:cs="Tahoma"/>
      <w:sz w:val="16"/>
      <w:szCs w:val="16"/>
    </w:rPr>
  </w:style>
  <w:style w:type="paragraph" w:styleId="Sprechblasentext2" w:customStyle="1">
    <w:name w:val="Sprechblasentext2"/>
    <w:basedOn w:val="Norml"/>
    <w:uiPriority w:val="99"/>
    <w:semiHidden/>
    <w:rsid w:val="00544905"/>
    <w:rPr>
      <w:rFonts w:ascii="Tahoma" w:hAnsi="Tahoma" w:cs="Tahoma"/>
      <w:sz w:val="16"/>
      <w:szCs w:val="16"/>
    </w:rPr>
  </w:style>
  <w:style w:type="table" w:styleId="TableGridLight1" w:customStyle="1">
    <w:name w:val="Table Grid Light1"/>
    <w:basedOn w:val="Normltblzat"/>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l"/>
    <w:uiPriority w:val="99"/>
    <w:semiHidden/>
    <w:rsid w:val="00544905"/>
    <w:rPr>
      <w:rFonts w:ascii="Tahoma" w:hAnsi="Tahoma" w:cs="Tahoma"/>
      <w:sz w:val="16"/>
      <w:szCs w:val="16"/>
    </w:rPr>
  </w:style>
  <w:style w:type="paragraph" w:styleId="Textedebulles2" w:customStyle="1">
    <w:name w:val="Texte de bulles2"/>
    <w:basedOn w:val="Norml"/>
    <w:uiPriority w:val="99"/>
    <w:semiHidden/>
    <w:rsid w:val="00544905"/>
    <w:rPr>
      <w:rFonts w:ascii="Tahoma" w:hAnsi="Tahoma" w:cs="Tahoma"/>
      <w:sz w:val="16"/>
      <w:szCs w:val="16"/>
    </w:rPr>
  </w:style>
  <w:style w:type="character" w:styleId="UnresolvedMention2" w:customStyle="1">
    <w:name w:val="Unresolved Mention2"/>
    <w:basedOn w:val="Bekezdsalapbettpusa"/>
    <w:uiPriority w:val="99"/>
    <w:semiHidden/>
    <w:unhideWhenUsed/>
    <w:rsid w:val="00544905"/>
    <w:rPr>
      <w:color w:val="808080"/>
      <w:shd w:val="clear" w:color="auto" w:fill="E6E6E6"/>
    </w:rPr>
  </w:style>
  <w:style w:type="table" w:styleId="TableauListe7Couleur1" w:customStyle="1">
    <w:name w:val="Tableau Liste 7 Couleur1"/>
    <w:basedOn w:val="Normltblzat"/>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l"/>
    <w:rsid w:val="00167F46"/>
    <w:pPr>
      <w:spacing w:before="60" w:after="240"/>
    </w:pPr>
    <w:rPr>
      <w:rFonts w:ascii="Verdana" w:hAnsi="Verdana" w:eastAsia="Times New Roman" w:cs="Calibri"/>
      <w:b/>
      <w:bCs/>
      <w:color w:val="57585A"/>
      <w:sz w:val="22"/>
      <w:lang w:val="en-GB"/>
    </w:rPr>
  </w:style>
  <w:style w:type="character" w:styleId="Lbjegyzet-hivatkozs">
    <w:name w:val="footnote reference"/>
    <w:basedOn w:val="Bekezdsalapbettpusa"/>
    <w:uiPriority w:val="99"/>
    <w:semiHidden/>
    <w:unhideWhenUsed/>
    <w:rsid w:val="00A803A7"/>
    <w:rPr>
      <w:vertAlign w:val="superscript"/>
    </w:rPr>
  </w:style>
  <w:style w:type="paragraph" w:styleId="Tartalomjegyzkcmsora">
    <w:name w:val="TOC Heading"/>
    <w:basedOn w:val="Cmsor1"/>
    <w:next w:val="Norm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56245f2f9b1f45c2"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thm15="http://schemas.microsoft.com/office/thememl/2012/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2.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4.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Doruk Güneş</lastModifiedBy>
  <revision>46</revision>
  <dcterms:created xsi:type="dcterms:W3CDTF">2024-11-07T16:25:00.0000000Z</dcterms:created>
  <dcterms:modified xsi:type="dcterms:W3CDTF">2025-07-29T20:27:52.4842140Z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